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D867" w14:textId="77777777" w:rsidR="00FE7F3E" w:rsidRDefault="00FE7F3E" w:rsidP="00FE7F3E">
      <w:pPr>
        <w:keepNext/>
        <w:ind w:right="-720"/>
        <w:outlineLvl w:val="0"/>
        <w:rPr>
          <w:bCs/>
        </w:rPr>
      </w:pPr>
      <w:r>
        <w:rPr>
          <w:bCs/>
        </w:rPr>
        <w:t>STATE OF NORTH CAROLINA</w:t>
      </w:r>
      <w:r>
        <w:rPr>
          <w:bCs/>
        </w:rPr>
        <w:tab/>
      </w:r>
      <w:r>
        <w:rPr>
          <w:bCs/>
        </w:rPr>
        <w:tab/>
        <w:t xml:space="preserve">            IN THE GENERAL COURT OF JUSTICE</w:t>
      </w:r>
    </w:p>
    <w:p w14:paraId="07F1D0D9" w14:textId="77777777" w:rsidR="00FE7F3E" w:rsidRDefault="00BB11BE" w:rsidP="00FE7F3E">
      <w:pPr>
        <w:rPr>
          <w:bCs/>
        </w:rPr>
      </w:pPr>
      <w:r>
        <w:rPr>
          <w:bCs/>
        </w:rPr>
        <w:tab/>
      </w:r>
      <w:r>
        <w:rPr>
          <w:bCs/>
        </w:rPr>
        <w:tab/>
      </w:r>
      <w:r>
        <w:rPr>
          <w:bCs/>
        </w:rPr>
        <w:tab/>
      </w:r>
      <w:r>
        <w:rPr>
          <w:bCs/>
        </w:rPr>
        <w:tab/>
      </w:r>
      <w:r>
        <w:rPr>
          <w:bCs/>
        </w:rPr>
        <w:tab/>
      </w:r>
      <w:r>
        <w:rPr>
          <w:bCs/>
        </w:rPr>
        <w:tab/>
        <w:t xml:space="preserve">            </w:t>
      </w:r>
      <w:r w:rsidR="00FE7F3E">
        <w:rPr>
          <w:bCs/>
        </w:rPr>
        <w:t>SUPERIOR COURT DIVISION</w:t>
      </w:r>
    </w:p>
    <w:p w14:paraId="62E5B7BF" w14:textId="106BBC99" w:rsidR="00FE7F3E" w:rsidRDefault="00BC6766" w:rsidP="00FE7F3E">
      <w:pPr>
        <w:rPr>
          <w:rFonts w:eastAsia="MS Mincho"/>
          <w:b/>
          <w:bCs/>
        </w:rPr>
      </w:pPr>
      <w:r>
        <w:rPr>
          <w:bCs/>
        </w:rPr>
        <w:t>COUNTY</w:t>
      </w:r>
      <w:r w:rsidR="00FE7F3E">
        <w:rPr>
          <w:bCs/>
        </w:rPr>
        <w:t xml:space="preserve"> OF </w:t>
      </w:r>
      <w:r w:rsidR="00FE7F3E">
        <w:rPr>
          <w:bCs/>
        </w:rPr>
        <w:tab/>
      </w:r>
      <w:r>
        <w:rPr>
          <w:bCs/>
          <w:highlight w:val="yellow"/>
        </w:rPr>
        <w:t>XXXX</w:t>
      </w:r>
      <w:r>
        <w:rPr>
          <w:bCs/>
        </w:rPr>
        <w:tab/>
      </w:r>
      <w:r w:rsidR="00A221B0">
        <w:rPr>
          <w:bCs/>
        </w:rPr>
        <w:tab/>
      </w:r>
      <w:r w:rsidR="00A221B0">
        <w:rPr>
          <w:bCs/>
        </w:rPr>
        <w:tab/>
        <w:t xml:space="preserve">     </w:t>
      </w:r>
      <w:r w:rsidR="00A221B0">
        <w:rPr>
          <w:bCs/>
        </w:rPr>
        <w:tab/>
      </w:r>
      <w:r>
        <w:rPr>
          <w:bCs/>
        </w:rPr>
        <w:tab/>
      </w:r>
      <w:r w:rsidRPr="00BC6766">
        <w:rPr>
          <w:bCs/>
          <w:highlight w:val="yellow"/>
        </w:rPr>
        <w:t>FILE NO.</w:t>
      </w:r>
      <w:r>
        <w:rPr>
          <w:bCs/>
        </w:rPr>
        <w:t xml:space="preserve"> </w:t>
      </w:r>
    </w:p>
    <w:p w14:paraId="21C70CF4" w14:textId="77777777" w:rsidR="00C2287C" w:rsidRDefault="00C2287C" w:rsidP="00FE7F3E">
      <w:pPr>
        <w:rPr>
          <w:bCs/>
        </w:rPr>
      </w:pP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
    <w:p w14:paraId="6C48BC10" w14:textId="77777777" w:rsidR="00FE7F3E" w:rsidRDefault="00FE7F3E" w:rsidP="00FE7F3E">
      <w:pPr>
        <w:rPr>
          <w:bCs/>
        </w:rPr>
      </w:pPr>
    </w:p>
    <w:p w14:paraId="3D63A055" w14:textId="77777777" w:rsidR="00FE7F3E" w:rsidRDefault="00FE7F3E" w:rsidP="00FE7F3E">
      <w:pPr>
        <w:rPr>
          <w:bCs/>
        </w:rPr>
      </w:pPr>
      <w:r>
        <w:rPr>
          <w:bCs/>
        </w:rPr>
        <w:tab/>
      </w:r>
      <w:r>
        <w:rPr>
          <w:bCs/>
        </w:rPr>
        <w:tab/>
      </w:r>
      <w:r>
        <w:rPr>
          <w:bCs/>
        </w:rPr>
        <w:tab/>
      </w:r>
      <w:r>
        <w:rPr>
          <w:bCs/>
        </w:rPr>
        <w:tab/>
      </w:r>
      <w:r>
        <w:rPr>
          <w:bCs/>
        </w:rPr>
        <w:tab/>
      </w:r>
    </w:p>
    <w:p w14:paraId="320AB3B9" w14:textId="77777777" w:rsidR="00FE7F3E" w:rsidRDefault="00FE7F3E" w:rsidP="00FE7F3E">
      <w:pPr>
        <w:rPr>
          <w:bCs/>
        </w:rPr>
      </w:pPr>
      <w:r>
        <w:rPr>
          <w:bCs/>
        </w:rPr>
        <w:t>STATE OF NORTH CAROLINA</w:t>
      </w:r>
      <w:r>
        <w:rPr>
          <w:bCs/>
        </w:rPr>
        <w:tab/>
      </w:r>
      <w:r>
        <w:rPr>
          <w:bCs/>
        </w:rPr>
        <w:tab/>
        <w:t>)</w:t>
      </w:r>
    </w:p>
    <w:p w14:paraId="5F9D87B0" w14:textId="77777777" w:rsidR="00FE7F3E" w:rsidRDefault="00FE7F3E" w:rsidP="00FE7F3E">
      <w:pPr>
        <w:rPr>
          <w:bCs/>
        </w:rPr>
      </w:pPr>
      <w:r>
        <w:rPr>
          <w:bCs/>
        </w:rPr>
        <w:tab/>
      </w:r>
      <w:r>
        <w:rPr>
          <w:bCs/>
        </w:rPr>
        <w:tab/>
      </w:r>
      <w:r>
        <w:rPr>
          <w:bCs/>
        </w:rPr>
        <w:tab/>
      </w:r>
      <w:r>
        <w:rPr>
          <w:bCs/>
        </w:rPr>
        <w:tab/>
      </w:r>
      <w:r>
        <w:rPr>
          <w:bCs/>
        </w:rPr>
        <w:tab/>
      </w:r>
      <w:r>
        <w:rPr>
          <w:bCs/>
        </w:rPr>
        <w:tab/>
        <w:t xml:space="preserve">)              </w:t>
      </w:r>
    </w:p>
    <w:p w14:paraId="396B4FB7" w14:textId="77777777" w:rsidR="00FE7F3E" w:rsidRDefault="00FE7F3E" w:rsidP="00FE7F3E">
      <w:pPr>
        <w:rPr>
          <w:bCs/>
        </w:rPr>
      </w:pPr>
      <w:proofErr w:type="gramStart"/>
      <w:r>
        <w:rPr>
          <w:bCs/>
        </w:rPr>
        <w:t>v</w:t>
      </w:r>
      <w:proofErr w:type="gramEnd"/>
      <w:r>
        <w:rPr>
          <w:bCs/>
        </w:rPr>
        <w:t>.</w:t>
      </w:r>
      <w:r>
        <w:rPr>
          <w:bCs/>
        </w:rPr>
        <w:tab/>
      </w:r>
      <w:r>
        <w:rPr>
          <w:bCs/>
        </w:rPr>
        <w:tab/>
      </w:r>
      <w:r>
        <w:rPr>
          <w:bCs/>
        </w:rPr>
        <w:tab/>
      </w:r>
      <w:r>
        <w:rPr>
          <w:bCs/>
        </w:rPr>
        <w:tab/>
      </w:r>
      <w:r>
        <w:rPr>
          <w:bCs/>
        </w:rPr>
        <w:tab/>
      </w:r>
      <w:r>
        <w:rPr>
          <w:bCs/>
        </w:rPr>
        <w:tab/>
        <w:t>)</w:t>
      </w:r>
    </w:p>
    <w:p w14:paraId="64DE0515" w14:textId="77777777" w:rsidR="00FE7F3E" w:rsidRDefault="00FE7F3E" w:rsidP="00FE7F3E">
      <w:pPr>
        <w:ind w:firstLine="4320"/>
        <w:rPr>
          <w:bCs/>
        </w:rPr>
      </w:pPr>
      <w:r>
        <w:rPr>
          <w:bCs/>
        </w:rPr>
        <w:t>)</w:t>
      </w:r>
    </w:p>
    <w:p w14:paraId="3475DC28" w14:textId="02F9789F" w:rsidR="00FE7F3E" w:rsidRDefault="00BC6766" w:rsidP="00FE7F3E">
      <w:pPr>
        <w:rPr>
          <w:bCs/>
        </w:rPr>
      </w:pPr>
      <w:r w:rsidRPr="00BC6766">
        <w:rPr>
          <w:highlight w:val="yellow"/>
        </w:rPr>
        <w:t>DEFENDANT</w:t>
      </w:r>
      <w:r>
        <w:tab/>
      </w:r>
      <w:r w:rsidR="00964DBB">
        <w:rPr>
          <w:bCs/>
        </w:rPr>
        <w:t>,</w:t>
      </w:r>
      <w:r w:rsidR="00964DBB">
        <w:rPr>
          <w:bCs/>
        </w:rPr>
        <w:tab/>
      </w:r>
      <w:r w:rsidR="00964DBB">
        <w:rPr>
          <w:bCs/>
        </w:rPr>
        <w:tab/>
      </w:r>
      <w:r>
        <w:rPr>
          <w:bCs/>
        </w:rPr>
        <w:tab/>
      </w:r>
      <w:r>
        <w:rPr>
          <w:bCs/>
        </w:rPr>
        <w:tab/>
      </w:r>
      <w:r w:rsidR="00FE7F3E">
        <w:rPr>
          <w:bCs/>
        </w:rPr>
        <w:t>)</w:t>
      </w:r>
    </w:p>
    <w:p w14:paraId="288BC918" w14:textId="77777777" w:rsidR="00FE7F3E" w:rsidRDefault="00FE7F3E" w:rsidP="00FE7F3E">
      <w:pPr>
        <w:pBdr>
          <w:bottom w:val="single" w:sz="6" w:space="1" w:color="auto"/>
        </w:pBdr>
        <w:rPr>
          <w:bCs/>
        </w:rPr>
      </w:pPr>
      <w:r>
        <w:rPr>
          <w:bCs/>
        </w:rPr>
        <w:tab/>
      </w:r>
      <w:r>
        <w:rPr>
          <w:bCs/>
        </w:rPr>
        <w:tab/>
      </w:r>
      <w:r>
        <w:rPr>
          <w:bCs/>
        </w:rPr>
        <w:tab/>
        <w:t xml:space="preserve">     Defendant.</w:t>
      </w:r>
      <w:r>
        <w:rPr>
          <w:bCs/>
        </w:rPr>
        <w:tab/>
      </w:r>
      <w:r>
        <w:rPr>
          <w:bCs/>
        </w:rPr>
        <w:tab/>
        <w:t>)</w:t>
      </w:r>
    </w:p>
    <w:p w14:paraId="15AE5A0A" w14:textId="77777777" w:rsidR="00FE7F3E" w:rsidRDefault="00FE7F3E" w:rsidP="00FE7F3E">
      <w:pPr>
        <w:pBdr>
          <w:bottom w:val="single" w:sz="6" w:space="1" w:color="auto"/>
        </w:pBdr>
        <w:rPr>
          <w:bCs/>
          <w:sz w:val="14"/>
        </w:rPr>
      </w:pPr>
    </w:p>
    <w:p w14:paraId="5CC0ED93" w14:textId="77777777" w:rsidR="00FE7F3E" w:rsidRDefault="00FE7F3E" w:rsidP="00FE7F3E"/>
    <w:p w14:paraId="7067063A" w14:textId="77777777" w:rsidR="004D63BE" w:rsidRDefault="00FE7F3E" w:rsidP="00FE7F3E">
      <w:pPr>
        <w:jc w:val="center"/>
      </w:pPr>
      <w:r>
        <w:t>***********************************</w:t>
      </w:r>
    </w:p>
    <w:p w14:paraId="3B66D981" w14:textId="77777777" w:rsidR="00FE7F3E" w:rsidRDefault="003F33CA" w:rsidP="00911700">
      <w:pPr>
        <w:jc w:val="center"/>
        <w:rPr>
          <w:b/>
          <w:caps/>
        </w:rPr>
      </w:pPr>
      <w:r>
        <w:rPr>
          <w:b/>
          <w:caps/>
        </w:rPr>
        <w:t xml:space="preserve">MOTION </w:t>
      </w:r>
      <w:r w:rsidR="00CF5A36">
        <w:rPr>
          <w:b/>
          <w:caps/>
        </w:rPr>
        <w:t>TO PRESERVE AND PROVIDE DOCUMENTS</w:t>
      </w:r>
      <w:r w:rsidR="00911700">
        <w:rPr>
          <w:b/>
          <w:caps/>
        </w:rPr>
        <w:t xml:space="preserve"> RELATED</w:t>
      </w:r>
    </w:p>
    <w:p w14:paraId="73B2FC35" w14:textId="5EF6E219" w:rsidR="00911700" w:rsidRDefault="00F05491" w:rsidP="00911700">
      <w:pPr>
        <w:jc w:val="center"/>
        <w:rPr>
          <w:b/>
          <w:caps/>
        </w:rPr>
      </w:pPr>
      <w:r>
        <w:rPr>
          <w:b/>
          <w:caps/>
        </w:rPr>
        <w:t>TO THE JURY FORMATION PROCESS; proposed order</w:t>
      </w:r>
    </w:p>
    <w:p w14:paraId="34826EFF" w14:textId="77777777" w:rsidR="00FE7F3E" w:rsidRDefault="00FE7F3E" w:rsidP="00FE7F3E">
      <w:pPr>
        <w:jc w:val="center"/>
      </w:pPr>
      <w:r>
        <w:t>***********************************</w:t>
      </w:r>
    </w:p>
    <w:p w14:paraId="0AE8FC4A" w14:textId="77777777" w:rsidR="00FE7F3E" w:rsidRDefault="00FE7F3E" w:rsidP="00FE7F3E">
      <w:pPr>
        <w:jc w:val="center"/>
        <w:rPr>
          <w:b/>
          <w:caps/>
        </w:rPr>
      </w:pPr>
    </w:p>
    <w:p w14:paraId="27235995" w14:textId="71388330" w:rsidR="0043135F" w:rsidRPr="00BC6766" w:rsidRDefault="00FE7F3E" w:rsidP="00FE7F3E">
      <w:pPr>
        <w:spacing w:line="480" w:lineRule="auto"/>
      </w:pPr>
      <w:r>
        <w:rPr>
          <w:b/>
          <w:caps/>
        </w:rPr>
        <w:tab/>
      </w:r>
      <w:r>
        <w:t xml:space="preserve">NOW COMES Defendant, by and through counsel, and respectfully moves this Court to order </w:t>
      </w:r>
      <w:r w:rsidR="001B0D98">
        <w:t>preservation of</w:t>
      </w:r>
      <w:r w:rsidR="00911700">
        <w:t xml:space="preserve"> documentation related to the jury formatio</w:t>
      </w:r>
      <w:r w:rsidR="00911700" w:rsidRPr="00BC6766">
        <w:t xml:space="preserve">n process in </w:t>
      </w:r>
      <w:r w:rsidR="00BC6766" w:rsidRPr="006E4FB9">
        <w:rPr>
          <w:highlight w:val="yellow"/>
        </w:rPr>
        <w:t>[YOUR COUNTY]</w:t>
      </w:r>
      <w:r w:rsidR="00911700" w:rsidRPr="00BC6766">
        <w:t xml:space="preserve"> </w:t>
      </w:r>
      <w:r w:rsidR="001B0D98" w:rsidRPr="00BC6766">
        <w:t>so counsel may adequately</w:t>
      </w:r>
      <w:r w:rsidRPr="00BC6766">
        <w:t xml:space="preserve"> investigate, develop and</w:t>
      </w:r>
      <w:r w:rsidR="002107A2" w:rsidRPr="00BC6766">
        <w:t>,</w:t>
      </w:r>
      <w:r w:rsidRPr="00BC6766">
        <w:t xml:space="preserve"> if necessary</w:t>
      </w:r>
      <w:r w:rsidR="002107A2" w:rsidRPr="00BC6766">
        <w:t>,</w:t>
      </w:r>
      <w:r w:rsidRPr="00BC6766">
        <w:t xml:space="preserve"> litigate claims concerning whether the</w:t>
      </w:r>
      <w:r w:rsidR="000113B4" w:rsidRPr="00BC6766">
        <w:t xml:space="preserve"> venire </w:t>
      </w:r>
      <w:r w:rsidRPr="00BC6766">
        <w:t xml:space="preserve">in this case represents a fair cross section of the </w:t>
      </w:r>
      <w:r w:rsidR="00BC6766" w:rsidRPr="006E4FB9">
        <w:rPr>
          <w:highlight w:val="yellow"/>
        </w:rPr>
        <w:t>[YOUR COUNTY]</w:t>
      </w:r>
      <w:r w:rsidR="00BC6766" w:rsidRPr="00BC6766">
        <w:t xml:space="preserve"> </w:t>
      </w:r>
      <w:r w:rsidRPr="00BC6766">
        <w:t>community.  Such information is necessary to ensure Defendant’s rights under the Fifth, Sixth and Fourteenth Amendments to the United States Constitution, A</w:t>
      </w:r>
      <w:r w:rsidR="00701822" w:rsidRPr="00BC6766">
        <w:t xml:space="preserve">rticle I, §§ </w:t>
      </w:r>
      <w:r w:rsidR="000113B4" w:rsidRPr="00BC6766">
        <w:t>24 and 26</w:t>
      </w:r>
      <w:r w:rsidR="00701822" w:rsidRPr="00BC6766">
        <w:t xml:space="preserve"> </w:t>
      </w:r>
      <w:r w:rsidRPr="00BC6766">
        <w:t xml:space="preserve">of the </w:t>
      </w:r>
      <w:r w:rsidR="00C20B7A" w:rsidRPr="00BC6766">
        <w:t xml:space="preserve">North Carolina Constitution, </w:t>
      </w:r>
      <w:r w:rsidR="0043135F" w:rsidRPr="00BC6766">
        <w:rPr>
          <w:i/>
        </w:rPr>
        <w:t>Duren v. Missouri</w:t>
      </w:r>
      <w:r w:rsidR="0043135F" w:rsidRPr="00BC6766">
        <w:t>, 439 U.S. 357 (1979)</w:t>
      </w:r>
      <w:r w:rsidR="00FF6377" w:rsidRPr="00BC6766">
        <w:t>,</w:t>
      </w:r>
      <w:r w:rsidR="00C20B7A" w:rsidRPr="00BC6766">
        <w:t xml:space="preserve"> and </w:t>
      </w:r>
      <w:r w:rsidR="00C20B7A" w:rsidRPr="00BC6766">
        <w:rPr>
          <w:i/>
        </w:rPr>
        <w:t>State v. Williams</w:t>
      </w:r>
      <w:r w:rsidR="00C20B7A" w:rsidRPr="00BC6766">
        <w:t>, 355 N.C. 501, 549 (2002)</w:t>
      </w:r>
      <w:r w:rsidR="0043135F" w:rsidRPr="00BC6766">
        <w:t>.</w:t>
      </w:r>
      <w:r w:rsidR="00361A7A" w:rsidRPr="00BC6766">
        <w:t xml:space="preserve"> </w:t>
      </w:r>
    </w:p>
    <w:p w14:paraId="12307389" w14:textId="77777777" w:rsidR="000B3C4C" w:rsidRPr="00BC6766" w:rsidRDefault="00911700" w:rsidP="000B3C4C">
      <w:pPr>
        <w:spacing w:line="480" w:lineRule="auto"/>
        <w:jc w:val="center"/>
        <w:rPr>
          <w:b/>
          <w:u w:val="single"/>
        </w:rPr>
      </w:pPr>
      <w:r w:rsidRPr="00BC6766">
        <w:rPr>
          <w:b/>
          <w:u w:val="single"/>
        </w:rPr>
        <w:t>Factual Basis</w:t>
      </w:r>
    </w:p>
    <w:p w14:paraId="67CD1068" w14:textId="17CE88F2" w:rsidR="004F6568" w:rsidRDefault="00911700" w:rsidP="006D02DA">
      <w:pPr>
        <w:spacing w:line="480" w:lineRule="auto"/>
      </w:pPr>
      <w:r w:rsidRPr="00BC6766">
        <w:rPr>
          <w:b/>
        </w:rPr>
        <w:tab/>
      </w:r>
      <w:r w:rsidR="00CB7FB3" w:rsidRPr="00BC6766">
        <w:t>Every two years</w:t>
      </w:r>
      <w:r w:rsidR="001B0D98" w:rsidRPr="00BC6766">
        <w:t xml:space="preserve"> (i.e. biennium)</w:t>
      </w:r>
      <w:r w:rsidR="00BC6766">
        <w:t xml:space="preserve"> </w:t>
      </w:r>
      <w:r w:rsidR="00BC6766" w:rsidRPr="00BC6766">
        <w:rPr>
          <w:highlight w:val="yellow"/>
        </w:rPr>
        <w:t xml:space="preserve">[replace with “Every year” if in </w:t>
      </w:r>
      <w:r w:rsidR="00101E10">
        <w:rPr>
          <w:highlight w:val="yellow"/>
        </w:rPr>
        <w:t xml:space="preserve">a </w:t>
      </w:r>
      <w:r w:rsidR="00BC6766" w:rsidRPr="00BC6766">
        <w:rPr>
          <w:highlight w:val="yellow"/>
        </w:rPr>
        <w:t>county</w:t>
      </w:r>
      <w:r w:rsidR="00101E10">
        <w:rPr>
          <w:highlight w:val="yellow"/>
        </w:rPr>
        <w:t xml:space="preserve"> with annual list updates</w:t>
      </w:r>
      <w:r w:rsidR="00BC6766" w:rsidRPr="00BC6766">
        <w:rPr>
          <w:highlight w:val="yellow"/>
        </w:rPr>
        <w:t>]</w:t>
      </w:r>
      <w:r w:rsidR="00964DBB" w:rsidRPr="00BC6766">
        <w:t>, a</w:t>
      </w:r>
      <w:r w:rsidR="00CB7FB3" w:rsidRPr="00BC6766">
        <w:t xml:space="preserve"> "raw"</w:t>
      </w:r>
      <w:r w:rsidRPr="00BC6766">
        <w:t xml:space="preserve"> list of potential jurors is sent from the Department of Motor Vehicles</w:t>
      </w:r>
      <w:r w:rsidR="00C817CF" w:rsidRPr="00BC6766">
        <w:t xml:space="preserve"> ("DMV")</w:t>
      </w:r>
      <w:r w:rsidRPr="00BC6766">
        <w:t xml:space="preserve"> to the </w:t>
      </w:r>
      <w:r w:rsidR="00BC6766" w:rsidRPr="006E4FB9">
        <w:rPr>
          <w:highlight w:val="yellow"/>
        </w:rPr>
        <w:t>[YOUR COUNTY]</w:t>
      </w:r>
      <w:r w:rsidR="00BC6766">
        <w:t xml:space="preserve"> </w:t>
      </w:r>
      <w:r>
        <w:t xml:space="preserve">Clerk of </w:t>
      </w:r>
      <w:r w:rsidR="00CB7FB3">
        <w:t xml:space="preserve">Superior </w:t>
      </w:r>
      <w:r>
        <w:t>Co</w:t>
      </w:r>
      <w:r w:rsidR="00FF6377">
        <w:t>urt pursuant to N.C. Gen. Stat.</w:t>
      </w:r>
      <w:r>
        <w:t xml:space="preserve"> §</w:t>
      </w:r>
      <w:r w:rsidR="00964DBB" w:rsidRPr="00911700">
        <w:t>§</w:t>
      </w:r>
      <w:r w:rsidR="00964DBB">
        <w:t xml:space="preserve"> </w:t>
      </w:r>
      <w:r>
        <w:t xml:space="preserve">9-2 and </w:t>
      </w:r>
      <w:r w:rsidRPr="00911700">
        <w:t>20-43.4</w:t>
      </w:r>
      <w:r w:rsidR="00CB7FB3">
        <w:t xml:space="preserve">.  </w:t>
      </w:r>
      <w:r w:rsidR="009C52D9">
        <w:t xml:space="preserve">This "raw" list contains registered voters and licensed drivers in the </w:t>
      </w:r>
      <w:r w:rsidR="00BC6766" w:rsidRPr="006E4FB9">
        <w:rPr>
          <w:highlight w:val="yellow"/>
        </w:rPr>
        <w:t>[YOUR COUNTY]</w:t>
      </w:r>
      <w:r w:rsidR="009C52D9" w:rsidRPr="006E4FB9">
        <w:rPr>
          <w:highlight w:val="yellow"/>
        </w:rPr>
        <w:t>.</w:t>
      </w:r>
      <w:r w:rsidR="009C52D9">
        <w:t xml:space="preserve"> Upon information and belief, beginning in 2020, this "raw" list also includes race and ethnicity information of the potential jurors. After receiving the "raw" list,</w:t>
      </w:r>
      <w:r w:rsidR="00CB7FB3">
        <w:t xml:space="preserve"> various editing of the list takes place utilizing both computer </w:t>
      </w:r>
      <w:r w:rsidR="00CB7FB3">
        <w:lastRenderedPageBreak/>
        <w:t xml:space="preserve">software and manual editing by the jury commission.  </w:t>
      </w:r>
      <w:r w:rsidR="004F6568">
        <w:t xml:space="preserve">After editing, the "master" jury list for the </w:t>
      </w:r>
      <w:r w:rsidR="00BC6766">
        <w:t>[YOUR COUNTY]</w:t>
      </w:r>
      <w:r w:rsidR="004F6568">
        <w:t xml:space="preserve"> is formed, and jurors for </w:t>
      </w:r>
      <w:r w:rsidR="009C52D9">
        <w:t xml:space="preserve">the grand jury and petit juries are randomly summonsed </w:t>
      </w:r>
      <w:r w:rsidR="00261E5C">
        <w:t>from</w:t>
      </w:r>
      <w:r w:rsidR="009C52D9">
        <w:t xml:space="preserve"> this "master" list for </w:t>
      </w:r>
      <w:r w:rsidR="00261E5C">
        <w:t xml:space="preserve">grand jury sessions and trials occurring during </w:t>
      </w:r>
      <w:r w:rsidR="00FF6377">
        <w:t xml:space="preserve">the </w:t>
      </w:r>
      <w:r w:rsidR="00261E5C">
        <w:t xml:space="preserve">upcoming </w:t>
      </w:r>
      <w:r w:rsidR="009C52D9">
        <w:t>two</w:t>
      </w:r>
      <w:r w:rsidR="00261E5C">
        <w:t>-</w:t>
      </w:r>
      <w:r w:rsidR="009C52D9">
        <w:t xml:space="preserve">year </w:t>
      </w:r>
      <w:r w:rsidR="00261E5C">
        <w:t xml:space="preserve">[or one-year] </w:t>
      </w:r>
      <w:r w:rsidR="009C52D9">
        <w:t>period. According to N.C. Gen. Stat. § 9-7, "[t]he names of persons summonsed for jury service and the date or dates on which each person served" is recorded on the master jury l</w:t>
      </w:r>
      <w:r w:rsidR="000113B4">
        <w:t>ist and retained for two years.</w:t>
      </w:r>
    </w:p>
    <w:p w14:paraId="40FB441E" w14:textId="69685905" w:rsidR="006D02DA" w:rsidRDefault="004F6568" w:rsidP="006D02DA">
      <w:pPr>
        <w:spacing w:line="480" w:lineRule="auto"/>
      </w:pPr>
      <w:r>
        <w:tab/>
      </w:r>
      <w:r w:rsidR="001B0D98">
        <w:t>According to the attached retention policies from the Administr</w:t>
      </w:r>
      <w:r w:rsidR="00C817CF">
        <w:t>ative Office of the Courts, the</w:t>
      </w:r>
      <w:r w:rsidR="001B0D98">
        <w:t xml:space="preserve"> </w:t>
      </w:r>
      <w:r w:rsidR="00FF6377">
        <w:t xml:space="preserve">original </w:t>
      </w:r>
      <w:r w:rsidR="001B0D98">
        <w:t>“raw” l</w:t>
      </w:r>
      <w:r w:rsidR="00C817CF">
        <w:t xml:space="preserve">ist sent </w:t>
      </w:r>
      <w:r w:rsidR="00261E5C">
        <w:t xml:space="preserve">by the DMV </w:t>
      </w:r>
      <w:r w:rsidR="00C817CF">
        <w:t xml:space="preserve">to the </w:t>
      </w:r>
      <w:r w:rsidR="00BC6766" w:rsidRPr="006E4FB9">
        <w:rPr>
          <w:highlight w:val="yellow"/>
        </w:rPr>
        <w:t>[YOUR COUNTY]</w:t>
      </w:r>
      <w:r w:rsidR="00C817CF">
        <w:t xml:space="preserve"> </w:t>
      </w:r>
      <w:r w:rsidR="001B0D98">
        <w:t>is retained only until the “administrative/reference value to the clerk has ended” and then the list is “destroy[</w:t>
      </w:r>
      <w:proofErr w:type="spellStart"/>
      <w:proofErr w:type="gramStart"/>
      <w:r w:rsidR="001B0D98">
        <w:t>ed</w:t>
      </w:r>
      <w:proofErr w:type="spellEnd"/>
      <w:proofErr w:type="gramEnd"/>
      <w:r w:rsidR="001B0D98">
        <w:t xml:space="preserve">] without NCAOC approval.” </w:t>
      </w:r>
      <w:r w:rsidR="00C77C61" w:rsidRPr="00C77C61">
        <w:t xml:space="preserve">See Exhibit </w:t>
      </w:r>
      <w:r w:rsidR="00C77C61">
        <w:t xml:space="preserve">1, Page 9.6. </w:t>
      </w:r>
      <w:r w:rsidR="001B0D98">
        <w:t xml:space="preserve">Upon information and belief, this list typically arrives to the clerk’s office via a thumb drive in the </w:t>
      </w:r>
      <w:proofErr w:type="gramStart"/>
      <w:r w:rsidR="001B0D98">
        <w:t>Fall</w:t>
      </w:r>
      <w:proofErr w:type="gramEnd"/>
      <w:r w:rsidR="001B0D98">
        <w:t xml:space="preserve"> before the next biennium. Therefore, this “raw” list from the DMV </w:t>
      </w:r>
      <w:r w:rsidR="006D02DA">
        <w:t xml:space="preserve">that is used </w:t>
      </w:r>
      <w:r w:rsidR="00C817CF">
        <w:t xml:space="preserve">to </w:t>
      </w:r>
      <w:r w:rsidR="001B0D98">
        <w:t xml:space="preserve">form the </w:t>
      </w:r>
      <w:r w:rsidR="006D02DA">
        <w:t xml:space="preserve">“master” </w:t>
      </w:r>
      <w:r w:rsidR="001B0D98">
        <w:t xml:space="preserve">jury list for the 2022-2023 biennium will arrive in the clerk’s office in the Fall of 2021. </w:t>
      </w:r>
      <w:r w:rsidR="00F05491">
        <w:t xml:space="preserve">The Clerk’s office does not have the capability to recreate the “raw” list from the resulting “master” list once the raw list is destroyed/disposed. </w:t>
      </w:r>
      <w:r w:rsidR="006D02DA">
        <w:t>The “raw” list is usually destroyed</w:t>
      </w:r>
      <w:r w:rsidR="00F05491">
        <w:t>/disposed</w:t>
      </w:r>
      <w:r w:rsidR="006D02DA">
        <w:t xml:space="preserve"> after the “master” jury list for the </w:t>
      </w:r>
      <w:r w:rsidR="00BC6766" w:rsidRPr="006E4FB9">
        <w:rPr>
          <w:highlight w:val="yellow"/>
        </w:rPr>
        <w:t>[YOUR COUNTY]</w:t>
      </w:r>
      <w:r w:rsidR="006D02DA">
        <w:t xml:space="preserve"> is formed, as the “raw” list has no further “administrati</w:t>
      </w:r>
      <w:r w:rsidR="00FF6377">
        <w:t>ve/reference value to the clerk</w:t>
      </w:r>
      <w:r w:rsidR="006D02DA">
        <w:t>”</w:t>
      </w:r>
      <w:r w:rsidR="00FF6377">
        <w:t xml:space="preserve"> at that point. </w:t>
      </w:r>
    </w:p>
    <w:p w14:paraId="027100AE" w14:textId="7FEF1EF9" w:rsidR="00C817CF" w:rsidRDefault="006D02DA" w:rsidP="000113B4">
      <w:pPr>
        <w:spacing w:line="480" w:lineRule="auto"/>
        <w:ind w:firstLine="720"/>
      </w:pPr>
      <w:r>
        <w:t>Additionally</w:t>
      </w:r>
      <w:r w:rsidR="001B0D98">
        <w:t>, upon information and belief</w:t>
      </w:r>
      <w:r w:rsidR="00CB7FB3">
        <w:t>, a</w:t>
      </w:r>
      <w:r>
        <w:t>ny documentation reflecting the</w:t>
      </w:r>
      <w:r w:rsidR="00CB7FB3">
        <w:t xml:space="preserve"> editing process</w:t>
      </w:r>
      <w:r w:rsidR="00964DBB">
        <w:t xml:space="preserve"> </w:t>
      </w:r>
      <w:r w:rsidR="00CB7FB3">
        <w:t>from the "raw" list to the finaliz</w:t>
      </w:r>
      <w:r w:rsidR="00964DBB">
        <w:t xml:space="preserve">ed "master" jury list for </w:t>
      </w:r>
      <w:r w:rsidR="00BC6766" w:rsidRPr="006E4FB9">
        <w:rPr>
          <w:highlight w:val="yellow"/>
        </w:rPr>
        <w:t>[YOUR COUNTY]</w:t>
      </w:r>
      <w:r w:rsidR="00BC6766">
        <w:t xml:space="preserve"> </w:t>
      </w:r>
      <w:r w:rsidR="00CB7FB3">
        <w:t>is not c</w:t>
      </w:r>
      <w:r>
        <w:t xml:space="preserve">urrently preserved. </w:t>
      </w:r>
      <w:r w:rsidR="001B0D98">
        <w:t xml:space="preserve">Finally, </w:t>
      </w:r>
      <w:r w:rsidR="008B5C1C">
        <w:t xml:space="preserve">upon information and belief, </w:t>
      </w:r>
      <w:r w:rsidR="001B0D98">
        <w:t xml:space="preserve">any </w:t>
      </w:r>
      <w:r w:rsidR="00CB7FB3">
        <w:t xml:space="preserve">returned summons marked "undeliverable," are </w:t>
      </w:r>
      <w:r w:rsidR="001B0D98">
        <w:t xml:space="preserve">not </w:t>
      </w:r>
      <w:proofErr w:type="gramStart"/>
      <w:r w:rsidR="00CB7FB3">
        <w:t>recorded</w:t>
      </w:r>
      <w:proofErr w:type="gramEnd"/>
      <w:r w:rsidR="00CB7FB3">
        <w:t xml:space="preserve"> or preserved. </w:t>
      </w:r>
    </w:p>
    <w:p w14:paraId="4433B527" w14:textId="77777777" w:rsidR="000113B4" w:rsidRDefault="000B3C4C" w:rsidP="000113B4">
      <w:pPr>
        <w:spacing w:line="480" w:lineRule="auto"/>
        <w:jc w:val="center"/>
        <w:rPr>
          <w:b/>
          <w:u w:val="single"/>
        </w:rPr>
      </w:pPr>
      <w:r w:rsidRPr="007D41D3">
        <w:rPr>
          <w:b/>
          <w:u w:val="single"/>
        </w:rPr>
        <w:t>Law and Argument</w:t>
      </w:r>
    </w:p>
    <w:p w14:paraId="0EB97DE1" w14:textId="6BB6EBFD" w:rsidR="000113B4" w:rsidRDefault="00A221B0" w:rsidP="000113B4">
      <w:pPr>
        <w:spacing w:line="480" w:lineRule="auto"/>
        <w:ind w:firstLine="720"/>
      </w:pPr>
      <w:r>
        <w:t>Defendant</w:t>
      </w:r>
      <w:r w:rsidR="00D772B1">
        <w:t xml:space="preserve"> is seeking </w:t>
      </w:r>
      <w:r w:rsidR="00CD6145">
        <w:t>information</w:t>
      </w:r>
      <w:r w:rsidR="00D772B1">
        <w:t xml:space="preserve"> in order to investigate whether the </w:t>
      </w:r>
      <w:r w:rsidR="0042485B">
        <w:t>venire</w:t>
      </w:r>
      <w:r w:rsidR="00D772B1">
        <w:t xml:space="preserve"> in his case comports with his Sixth Ame</w:t>
      </w:r>
      <w:r w:rsidR="000E2CA6">
        <w:t xml:space="preserve">ndment rights to </w:t>
      </w:r>
      <w:r w:rsidR="00787663">
        <w:t xml:space="preserve">an impartial jury, interpreted by </w:t>
      </w:r>
      <w:r w:rsidR="00787663" w:rsidRPr="00787663">
        <w:rPr>
          <w:i/>
        </w:rPr>
        <w:t>Taylor v. Louisiana</w:t>
      </w:r>
      <w:r w:rsidR="00787663" w:rsidRPr="00787663">
        <w:t>, 419 U.S. 522, 528 (1975)</w:t>
      </w:r>
      <w:r w:rsidR="00BF52AE">
        <w:t xml:space="preserve"> </w:t>
      </w:r>
      <w:r w:rsidR="00FF6377">
        <w:t xml:space="preserve">to mean </w:t>
      </w:r>
      <w:r w:rsidR="00BF52AE">
        <w:t xml:space="preserve">a jury </w:t>
      </w:r>
      <w:r w:rsidR="00FA1F20">
        <w:t xml:space="preserve">selected </w:t>
      </w:r>
      <w:r w:rsidR="00BF52AE">
        <w:t>from a fair cross-section of the community</w:t>
      </w:r>
      <w:r w:rsidR="000E2CA6">
        <w:t xml:space="preserve">. </w:t>
      </w:r>
      <w:r w:rsidR="00564DD7">
        <w:t xml:space="preserve">The inherent importance of </w:t>
      </w:r>
      <w:r w:rsidR="002107A2">
        <w:t>fairly representing all groups</w:t>
      </w:r>
      <w:r w:rsidR="00564DD7">
        <w:t xml:space="preserve"> in jury service </w:t>
      </w:r>
      <w:proofErr w:type="gramStart"/>
      <w:r w:rsidR="00564DD7">
        <w:t>has long been recogniz</w:t>
      </w:r>
      <w:r w:rsidR="00E7151E">
        <w:t>ed</w:t>
      </w:r>
      <w:proofErr w:type="gramEnd"/>
      <w:r w:rsidR="00E7151E">
        <w:t xml:space="preserve">. </w:t>
      </w:r>
      <w:r w:rsidR="00BF52AE">
        <w:t>“</w:t>
      </w:r>
      <w:r w:rsidR="000E2CA6" w:rsidRPr="000E2CA6">
        <w:t>When any large and identifiable segment of the community is excluded from jury service, the effect is to remove from the jury room qualities of human nature and varieties of human experience, the range of which is unknown and perhaps unknowable. It is not necessary to assume that the excluded group will consistently vote as a class in order to conclude, as we do, that its exclusion deprives the jury of a perspective on human events that may have unsuspected importance in any case that may be presented.</w:t>
      </w:r>
      <w:r w:rsidR="002107A2">
        <w:t xml:space="preserve">” </w:t>
      </w:r>
      <w:r w:rsidR="000E2CA6">
        <w:t xml:space="preserve"> </w:t>
      </w:r>
      <w:r w:rsidR="000E2CA6" w:rsidRPr="000E2CA6">
        <w:rPr>
          <w:i/>
        </w:rPr>
        <w:t xml:space="preserve">Peters v. </w:t>
      </w:r>
      <w:proofErr w:type="spellStart"/>
      <w:r w:rsidR="000E2CA6" w:rsidRPr="000E2CA6">
        <w:rPr>
          <w:i/>
        </w:rPr>
        <w:t>Kiff</w:t>
      </w:r>
      <w:proofErr w:type="spellEnd"/>
      <w:r w:rsidR="000E2CA6" w:rsidRPr="000E2CA6">
        <w:t>, 407 U.S. 493, 503–04 (1972)</w:t>
      </w:r>
      <w:r w:rsidR="000E2CA6">
        <w:t xml:space="preserve">. </w:t>
      </w:r>
    </w:p>
    <w:p w14:paraId="7D1EC9A5" w14:textId="77777777" w:rsidR="000113B4" w:rsidRDefault="002107A2" w:rsidP="000113B4">
      <w:pPr>
        <w:spacing w:line="480" w:lineRule="auto"/>
        <w:ind w:firstLine="720"/>
      </w:pPr>
      <w:proofErr w:type="gramStart"/>
      <w:r>
        <w:t xml:space="preserve">To </w:t>
      </w:r>
      <w:r w:rsidR="007672C6">
        <w:t>demonstrate</w:t>
      </w:r>
      <w:r>
        <w:t xml:space="preserve"> a fair cross-section violation, a defendant must show “[1] that the group alleged to be excluded is a ‘distinctive’ group in the community; [2] that the representation of this group in venires from which juries are selected is not fair and reasonable in relation to the number of such persons in the community; and [3] that this underrepresentation is due to the systematic exclusion of the group in the jury-selection process.”</w:t>
      </w:r>
      <w:proofErr w:type="gramEnd"/>
      <w:r>
        <w:t xml:space="preserve"> </w:t>
      </w:r>
      <w:r>
        <w:rPr>
          <w:i/>
        </w:rPr>
        <w:t>State v. Williams</w:t>
      </w:r>
      <w:r>
        <w:t xml:space="preserve">, 355 N.C. 501 (2002) (quoting </w:t>
      </w:r>
      <w:r>
        <w:rPr>
          <w:i/>
        </w:rPr>
        <w:t>Duren v. Missouri</w:t>
      </w:r>
      <w:r>
        <w:t>, 439 U.S. 357 (1979)).</w:t>
      </w:r>
    </w:p>
    <w:p w14:paraId="212AC5E4" w14:textId="5D2C3B16" w:rsidR="0013738C" w:rsidRDefault="00A221B0" w:rsidP="000113B4">
      <w:pPr>
        <w:spacing w:line="480" w:lineRule="auto"/>
        <w:ind w:firstLine="720"/>
      </w:pPr>
      <w:r>
        <w:t>Defendant</w:t>
      </w:r>
      <w:r w:rsidR="00BB4698">
        <w:t xml:space="preserve"> has no burden to demonstrate issues of underrepresentation of distinctive groups </w:t>
      </w:r>
      <w:r w:rsidR="003C4298">
        <w:t>as a threshold to access the information he is seeking</w:t>
      </w:r>
      <w:r w:rsidR="00BB4698">
        <w:t xml:space="preserve">. Requiring him to meet such </w:t>
      </w:r>
      <w:r w:rsidR="00FA1F20">
        <w:t xml:space="preserve">a </w:t>
      </w:r>
      <w:r w:rsidR="00BB4698">
        <w:t>burden would be “putting the proverbial cart before the horse by requiring defendants to demonstrate a problem with the jury selection system in order to access records that would tell them whether there is a problem with the jury selection system</w:t>
      </w:r>
      <w:r w:rsidR="00B72517">
        <w:t>,</w:t>
      </w:r>
      <w:r w:rsidR="00BB4698">
        <w:t xml:space="preserve">” and would be inconsistent with rulings from federal courts. </w:t>
      </w:r>
      <w:r w:rsidR="00B72517">
        <w:t xml:space="preserve"> </w:t>
      </w:r>
      <w:proofErr w:type="gramStart"/>
      <w:r w:rsidR="00B72517" w:rsidRPr="00B72517">
        <w:t xml:space="preserve">Nina W. Chernoff, </w:t>
      </w:r>
      <w:r w:rsidR="00B72517" w:rsidRPr="00B72517">
        <w:rPr>
          <w:i/>
          <w:iCs/>
        </w:rPr>
        <w:t>No Records, No Right: Discovery &amp; the</w:t>
      </w:r>
      <w:r w:rsidR="00B72517">
        <w:rPr>
          <w:i/>
          <w:iCs/>
        </w:rPr>
        <w:t xml:space="preserve"> </w:t>
      </w:r>
      <w:r w:rsidR="00B72517" w:rsidRPr="00B72517">
        <w:rPr>
          <w:i/>
          <w:iCs/>
        </w:rPr>
        <w:t>Fair Cross-Section Guarantee</w:t>
      </w:r>
      <w:r w:rsidR="00B72517" w:rsidRPr="00B72517">
        <w:t xml:space="preserve">, 101 </w:t>
      </w:r>
      <w:r w:rsidR="00B72517" w:rsidRPr="00B72517">
        <w:rPr>
          <w:bCs/>
        </w:rPr>
        <w:t>Iowa</w:t>
      </w:r>
      <w:r w:rsidR="00B72517" w:rsidRPr="00B72517">
        <w:rPr>
          <w:b/>
          <w:bCs/>
        </w:rPr>
        <w:t xml:space="preserve"> </w:t>
      </w:r>
      <w:r w:rsidR="00B72517" w:rsidRPr="00B72517">
        <w:t xml:space="preserve">L. Rev. 1719, </w:t>
      </w:r>
      <w:r w:rsidR="00B72517">
        <w:t xml:space="preserve">1757 </w:t>
      </w:r>
      <w:r w:rsidR="00B72517" w:rsidRPr="00B72517">
        <w:t>(2016)</w:t>
      </w:r>
      <w:r w:rsidR="00B72517">
        <w:t xml:space="preserve">; </w:t>
      </w:r>
      <w:r w:rsidR="00B72517">
        <w:rPr>
          <w:i/>
        </w:rPr>
        <w:t xml:space="preserve">See also </w:t>
      </w:r>
      <w:r w:rsidR="00BB4698" w:rsidRPr="00BB4698">
        <w:rPr>
          <w:i/>
        </w:rPr>
        <w:t>United States v. Royal</w:t>
      </w:r>
      <w:r w:rsidR="00BB4698" w:rsidRPr="00BB4698">
        <w:t>, 100 F.3d 1019, 1025 (1st Cir. 1996) (“[t]o avail himself of the right of access to jury selection records, a litigant need only allege that</w:t>
      </w:r>
      <w:r w:rsidR="00BB4698">
        <w:t xml:space="preserve"> </w:t>
      </w:r>
      <w:r w:rsidR="00BB4698" w:rsidRPr="00BB4698">
        <w:t>he is preparing a motion to challenge the jury selection process.”</w:t>
      </w:r>
      <w:r w:rsidR="00106796">
        <w:t>);</w:t>
      </w:r>
      <w:r w:rsidR="000113B4">
        <w:t xml:space="preserve"> </w:t>
      </w:r>
      <w:r w:rsidR="000113B4" w:rsidRPr="000113B4">
        <w:rPr>
          <w:i/>
        </w:rPr>
        <w:t>Government of Canal Zone v. Davis</w:t>
      </w:r>
      <w:r w:rsidR="000113B4">
        <w:t>, 592 F.2d 887 889 (5</w:t>
      </w:r>
      <w:r w:rsidR="000113B4" w:rsidRPr="00462E3F">
        <w:t>th</w:t>
      </w:r>
      <w:r w:rsidR="000113B4">
        <w:t xml:space="preserve"> Cir. 1979); </w:t>
      </w:r>
      <w:r w:rsidR="000113B4" w:rsidRPr="00462E3F">
        <w:rPr>
          <w:i/>
        </w:rPr>
        <w:t>United States v. Lawson</w:t>
      </w:r>
      <w:r w:rsidR="000113B4">
        <w:t>, 670 F.2d 923 (10</w:t>
      </w:r>
      <w:r w:rsidR="000113B4" w:rsidRPr="000113B4">
        <w:rPr>
          <w:vertAlign w:val="superscript"/>
        </w:rPr>
        <w:t>th</w:t>
      </w:r>
      <w:r w:rsidR="000113B4">
        <w:t xml:space="preserve"> Cir. 1982); </w:t>
      </w:r>
      <w:r w:rsidR="000113B4" w:rsidRPr="00F05491">
        <w:rPr>
          <w:i/>
        </w:rPr>
        <w:t>United States v. Alden</w:t>
      </w:r>
      <w:r w:rsidR="000113B4">
        <w:t>, 776 F.2d 771, 773 (8</w:t>
      </w:r>
      <w:r w:rsidR="000113B4" w:rsidRPr="00462E3F">
        <w:t>th</w:t>
      </w:r>
      <w:r w:rsidR="000113B4">
        <w:t xml:space="preserve"> Cir. 1985); </w:t>
      </w:r>
      <w:r w:rsidR="000113B4" w:rsidRPr="00462E3F">
        <w:rPr>
          <w:i/>
        </w:rPr>
        <w:t xml:space="preserve">United States v. </w:t>
      </w:r>
      <w:proofErr w:type="spellStart"/>
      <w:r w:rsidR="000113B4" w:rsidRPr="00462E3F">
        <w:rPr>
          <w:i/>
        </w:rPr>
        <w:t>Macano</w:t>
      </w:r>
      <w:proofErr w:type="spellEnd"/>
      <w:r w:rsidR="000113B4" w:rsidRPr="00462E3F">
        <w:rPr>
          <w:i/>
        </w:rPr>
        <w:t>-Garcia</w:t>
      </w:r>
      <w:r w:rsidR="000113B4">
        <w:t>, 622 F.2d 12, 18 (1</w:t>
      </w:r>
      <w:r w:rsidR="000113B4" w:rsidRPr="00462E3F">
        <w:t>st</w:t>
      </w:r>
      <w:r w:rsidR="000113B4">
        <w:t xml:space="preserve"> Cir. 1980); </w:t>
      </w:r>
      <w:r w:rsidR="000113B4" w:rsidRPr="00462E3F">
        <w:rPr>
          <w:i/>
        </w:rPr>
        <w:t xml:space="preserve">United States v. </w:t>
      </w:r>
      <w:proofErr w:type="spellStart"/>
      <w:r w:rsidR="000113B4" w:rsidRPr="00462E3F">
        <w:rPr>
          <w:i/>
        </w:rPr>
        <w:t>Beaty</w:t>
      </w:r>
      <w:proofErr w:type="spellEnd"/>
      <w:r w:rsidR="000113B4">
        <w:t>, 465 F.2d 1376, 1380 (9</w:t>
      </w:r>
      <w:r w:rsidR="000113B4" w:rsidRPr="00462E3F">
        <w:t>th</w:t>
      </w:r>
      <w:r w:rsidR="000113B4">
        <w:t xml:space="preserve"> Cir. 1972).</w:t>
      </w:r>
      <w:proofErr w:type="gramEnd"/>
      <w:r w:rsidR="000113B4">
        <w:t xml:space="preserve"> </w:t>
      </w:r>
      <w:r w:rsidR="008A7710">
        <w:t xml:space="preserve">"This cross-section requirement would be without meaning if a defendant were denied all means of discovery in an effort to assert that right." </w:t>
      </w:r>
      <w:r w:rsidR="008A7710" w:rsidRPr="00895347">
        <w:rPr>
          <w:i/>
        </w:rPr>
        <w:t xml:space="preserve">State ex rel. Garrett v. </w:t>
      </w:r>
      <w:proofErr w:type="spellStart"/>
      <w:r w:rsidR="008A7710" w:rsidRPr="00895347">
        <w:rPr>
          <w:i/>
        </w:rPr>
        <w:t>Saitz</w:t>
      </w:r>
      <w:proofErr w:type="spellEnd"/>
      <w:r w:rsidR="008A7710" w:rsidRPr="00895347">
        <w:rPr>
          <w:i/>
        </w:rPr>
        <w:t xml:space="preserve">, </w:t>
      </w:r>
      <w:r w:rsidR="008A7710" w:rsidRPr="00895347">
        <w:t>594 S.W.2d 606, 608 (Mo. 1980).</w:t>
      </w:r>
      <w:r w:rsidR="008A7710">
        <w:t xml:space="preserve"> </w:t>
      </w:r>
    </w:p>
    <w:p w14:paraId="00F6748E" w14:textId="77777777" w:rsidR="00FB09D9" w:rsidRPr="00FB09D9" w:rsidRDefault="00FB09D9" w:rsidP="0013738C">
      <w:pPr>
        <w:pStyle w:val="NormalWeb"/>
        <w:numPr>
          <w:ilvl w:val="0"/>
          <w:numId w:val="10"/>
        </w:numPr>
        <w:shd w:val="clear" w:color="auto" w:fill="FFFFFF"/>
        <w:spacing w:before="120" w:after="240" w:line="480" w:lineRule="auto"/>
        <w:contextualSpacing/>
        <w:rPr>
          <w:b/>
        </w:rPr>
      </w:pPr>
      <w:r>
        <w:rPr>
          <w:b/>
        </w:rPr>
        <w:t>Standards for demonstrating “systematic exclusion”</w:t>
      </w:r>
    </w:p>
    <w:p w14:paraId="09E20BF5" w14:textId="77777777" w:rsidR="002B143E" w:rsidRDefault="00D772B1" w:rsidP="00151817">
      <w:pPr>
        <w:pStyle w:val="NormalWeb"/>
        <w:shd w:val="clear" w:color="auto" w:fill="FFFFFF"/>
        <w:spacing w:before="120" w:after="240" w:line="480" w:lineRule="auto"/>
        <w:ind w:firstLine="720"/>
        <w:contextualSpacing/>
      </w:pPr>
      <w:r>
        <w:t xml:space="preserve">The </w:t>
      </w:r>
      <w:r w:rsidR="003F33CA">
        <w:t>information sought</w:t>
      </w:r>
      <w:r>
        <w:t xml:space="preserve"> is critical and necessary in determining </w:t>
      </w:r>
      <w:r w:rsidR="0042485B">
        <w:t xml:space="preserve">the third prong of the </w:t>
      </w:r>
      <w:r w:rsidR="0042485B">
        <w:rPr>
          <w:i/>
        </w:rPr>
        <w:t xml:space="preserve">Duren </w:t>
      </w:r>
      <w:r w:rsidR="0042485B">
        <w:t xml:space="preserve">test – whether any underrepresentation in </w:t>
      </w:r>
      <w:r w:rsidR="00A221B0">
        <w:t>Defendant</w:t>
      </w:r>
      <w:r w:rsidR="007672C6">
        <w:t>’s</w:t>
      </w:r>
      <w:r w:rsidR="0042485B">
        <w:t xml:space="preserve"> venire is due to systemati</w:t>
      </w:r>
      <w:r w:rsidR="007672C6">
        <w:t>c exclusion of a distinctive</w:t>
      </w:r>
      <w:r w:rsidR="0042485B">
        <w:t xml:space="preserve"> group in the jury selection process.</w:t>
      </w:r>
      <w:r w:rsidR="00577658">
        <w:t xml:space="preserve">  Because the </w:t>
      </w:r>
      <w:r w:rsidR="00577658">
        <w:rPr>
          <w:i/>
        </w:rPr>
        <w:t xml:space="preserve">Duren </w:t>
      </w:r>
      <w:r w:rsidR="00577658">
        <w:t>test falls under the Sixth Amendment right to a fair jury, th</w:t>
      </w:r>
      <w:r w:rsidR="002107A2">
        <w:t>e question is whether there is underrepresentation of a distinctive group due to system</w:t>
      </w:r>
      <w:r w:rsidR="007672C6">
        <w:t>atic</w:t>
      </w:r>
      <w:r w:rsidR="002107A2">
        <w:t xml:space="preserve"> </w:t>
      </w:r>
      <w:r w:rsidR="002107A2" w:rsidRPr="00FA1F20">
        <w:t>exclusion, not whether there is intent to discriminate</w:t>
      </w:r>
      <w:r w:rsidR="00577658" w:rsidRPr="00FA1F20">
        <w:t xml:space="preserve">. </w:t>
      </w:r>
      <w:r w:rsidR="00577658" w:rsidRPr="003F3BD4">
        <w:rPr>
          <w:i/>
          <w:iCs/>
        </w:rPr>
        <w:t>United States v. Green</w:t>
      </w:r>
      <w:r w:rsidR="00577658" w:rsidRPr="003F3BD4">
        <w:t xml:space="preserve">, 389 F. Supp. 2d 29, 51 (D. Mass. 2005) (emphasis in original) (internal citations omitted), </w:t>
      </w:r>
      <w:proofErr w:type="spellStart"/>
      <w:r w:rsidR="00577658" w:rsidRPr="003F3BD4">
        <w:rPr>
          <w:i/>
          <w:iCs/>
        </w:rPr>
        <w:t>rev’d</w:t>
      </w:r>
      <w:proofErr w:type="spellEnd"/>
      <w:r w:rsidR="00577658" w:rsidRPr="003F3BD4">
        <w:rPr>
          <w:i/>
          <w:iCs/>
        </w:rPr>
        <w:t xml:space="preserve"> on other grounds, </w:t>
      </w:r>
      <w:r w:rsidR="00577658" w:rsidRPr="003F3BD4">
        <w:t xml:space="preserve">426 F.3d 1 (1st Cir. 2005); </w:t>
      </w:r>
      <w:r w:rsidR="00577658" w:rsidRPr="003F3BD4">
        <w:rPr>
          <w:i/>
          <w:iCs/>
        </w:rPr>
        <w:t>see also United States v. Gelb</w:t>
      </w:r>
      <w:r w:rsidR="00577658" w:rsidRPr="003F3BD4">
        <w:t>, 881 F.2d 1155, 1161 (2d Cir. 1989) (observing that the Sixth Amendment is stricter than the Equal Protection Clause because</w:t>
      </w:r>
      <w:r w:rsidR="002B143E">
        <w:t xml:space="preserve"> it is unconcerned with motive)</w:t>
      </w:r>
    </w:p>
    <w:p w14:paraId="3FF17B77" w14:textId="77777777" w:rsidR="006D02DA" w:rsidRPr="002B143E" w:rsidRDefault="00C64566" w:rsidP="00151817">
      <w:pPr>
        <w:pStyle w:val="NormalWeb"/>
        <w:shd w:val="clear" w:color="auto" w:fill="FFFFFF"/>
        <w:spacing w:before="120" w:after="240" w:line="480" w:lineRule="auto"/>
        <w:ind w:firstLine="720"/>
        <w:contextualSpacing/>
      </w:pPr>
      <w:r w:rsidRPr="00151817">
        <w:t xml:space="preserve">“Systematic exclusion” may occur </w:t>
      </w:r>
      <w:proofErr w:type="gramStart"/>
      <w:r w:rsidRPr="00151817">
        <w:t>as a result</w:t>
      </w:r>
      <w:proofErr w:type="gramEnd"/>
      <w:r w:rsidRPr="00151817">
        <w:t xml:space="preserve"> of any number of typically invisible steps in the jury formation process: for example, a glitch in a software system that inadvertently removes residents living within a certain zip c</w:t>
      </w:r>
      <w:r w:rsidR="00151817" w:rsidRPr="00151817">
        <w:t xml:space="preserve">ode from the juror list. </w:t>
      </w:r>
      <w:r w:rsidR="00151817" w:rsidRPr="00151817">
        <w:rPr>
          <w:i/>
        </w:rPr>
        <w:t xml:space="preserve">See United States v. Jackman, </w:t>
      </w:r>
      <w:r w:rsidR="00151817" w:rsidRPr="00151817">
        <w:t>46 F.3d 1240, 1242-43 (2d Cir. 1995)</w:t>
      </w:r>
      <w:r w:rsidR="00151817" w:rsidRPr="00151817">
        <w:rPr>
          <w:i/>
        </w:rPr>
        <w:t xml:space="preserve"> </w:t>
      </w:r>
      <w:r w:rsidR="00151817" w:rsidRPr="00151817">
        <w:t xml:space="preserve">(citing </w:t>
      </w:r>
      <w:r w:rsidR="00151817" w:rsidRPr="00151817">
        <w:rPr>
          <w:i/>
        </w:rPr>
        <w:t>United States v. Osorio</w:t>
      </w:r>
      <w:r w:rsidR="00151817" w:rsidRPr="00151817">
        <w:t>, 801 F. Supp. 966, 972-73) (D. Conn. 1992)).</w:t>
      </w:r>
      <w:r w:rsidR="00151817" w:rsidRPr="00151817">
        <w:rPr>
          <w:i/>
        </w:rPr>
        <w:t xml:space="preserve"> </w:t>
      </w:r>
      <w:r w:rsidRPr="00151817">
        <w:t xml:space="preserve"> </w:t>
      </w:r>
      <w:proofErr w:type="gramStart"/>
      <w:r w:rsidR="002B143E">
        <w:t>Or</w:t>
      </w:r>
      <w:proofErr w:type="gramEnd"/>
      <w:r w:rsidR="002B143E">
        <w:t xml:space="preserve"> "systematic exclusion" may occur as it did in </w:t>
      </w:r>
      <w:r w:rsidR="002B143E">
        <w:rPr>
          <w:i/>
        </w:rPr>
        <w:t xml:space="preserve">Duren </w:t>
      </w:r>
      <w:r w:rsidR="002B143E">
        <w:t xml:space="preserve">where an inherent product of the jury selection mechanism results in underrepresentation, or if the underrepresentation results from a rule or practice over which the state actor had control. </w:t>
      </w:r>
      <w:r w:rsidR="002B143E">
        <w:rPr>
          <w:i/>
        </w:rPr>
        <w:t xml:space="preserve">Id., </w:t>
      </w:r>
      <w:r w:rsidR="002B143E">
        <w:t xml:space="preserve">439 U.S. at 366 </w:t>
      </w:r>
      <w:r w:rsidR="002B143E" w:rsidRPr="00FF6377">
        <w:t>(</w:t>
      </w:r>
      <w:r w:rsidR="002B143E" w:rsidRPr="00F05491">
        <w:t>violation found where Missouri’s jury selection process systematically excluded women from the jury pool).</w:t>
      </w:r>
      <w:r w:rsidR="002B143E">
        <w:rPr>
          <w:sz w:val="22"/>
          <w:szCs w:val="22"/>
        </w:rPr>
        <w:t xml:space="preserve">  </w:t>
      </w:r>
      <w:r w:rsidRPr="00151817">
        <w:t>Without the opportunity to examine the process by which th</w:t>
      </w:r>
      <w:r w:rsidR="006D02DA">
        <w:t xml:space="preserve">e juror list </w:t>
      </w:r>
      <w:proofErr w:type="gramStart"/>
      <w:r w:rsidR="006D02DA">
        <w:t>is formed</w:t>
      </w:r>
      <w:proofErr w:type="gramEnd"/>
      <w:r w:rsidR="006D02DA">
        <w:t>, systematic</w:t>
      </w:r>
      <w:r w:rsidRPr="00151817">
        <w:t xml:space="preserve"> factors producing underrepresentation remain hidden and their effect on the jury list unabated.</w:t>
      </w:r>
      <w:r>
        <w:t xml:space="preserve">  </w:t>
      </w:r>
      <w:r w:rsidR="00124288">
        <w:t xml:space="preserve">"One denial leads to another: denial of the motion for disclosure leaves [defendant] with no way to prove his…jury did not represent a cross-section of the community, and that would be a denial of due process." </w:t>
      </w:r>
      <w:r w:rsidR="002B143E">
        <w:rPr>
          <w:i/>
        </w:rPr>
        <w:t>Garrett</w:t>
      </w:r>
      <w:r w:rsidR="002B143E">
        <w:t xml:space="preserve">, </w:t>
      </w:r>
      <w:r w:rsidR="002B143E" w:rsidRPr="00895347">
        <w:t>594 S.W.2d</w:t>
      </w:r>
      <w:r w:rsidR="002B143E">
        <w:t xml:space="preserve"> at 608. </w:t>
      </w:r>
    </w:p>
    <w:p w14:paraId="2E1A51D2" w14:textId="26D29752" w:rsidR="00C60D77" w:rsidRDefault="002B143E" w:rsidP="002B143E">
      <w:pPr>
        <w:pStyle w:val="NormalWeb"/>
        <w:shd w:val="clear" w:color="auto" w:fill="FFFFFF"/>
        <w:spacing w:before="120" w:after="240" w:line="480" w:lineRule="auto"/>
        <w:ind w:firstLine="720"/>
        <w:contextualSpacing/>
      </w:pPr>
      <w:r>
        <w:t xml:space="preserve">The </w:t>
      </w:r>
      <w:r>
        <w:rPr>
          <w:i/>
        </w:rPr>
        <w:t xml:space="preserve">Duren </w:t>
      </w:r>
      <w:r>
        <w:t xml:space="preserve">three-part test places the burden on the defendant to show systematic exclusion. Without access to the information requested, the Defendant cannot investigate whether a meritorious challenge exists. </w:t>
      </w:r>
      <w:proofErr w:type="gramStart"/>
      <w:r w:rsidR="00C60D77" w:rsidRPr="00C60D77">
        <w:t xml:space="preserve">See, e.g., </w:t>
      </w:r>
      <w:r w:rsidR="00C60D77" w:rsidRPr="002B143E">
        <w:rPr>
          <w:i/>
        </w:rPr>
        <w:t xml:space="preserve">State v. </w:t>
      </w:r>
      <w:proofErr w:type="spellStart"/>
      <w:r w:rsidR="00C60D77" w:rsidRPr="002B143E">
        <w:rPr>
          <w:i/>
        </w:rPr>
        <w:t>Gettys</w:t>
      </w:r>
      <w:proofErr w:type="spellEnd"/>
      <w:r w:rsidR="00C60D77" w:rsidRPr="00C60D77">
        <w:t>, 243 N.C. App. 590 (2015) (rejecting fair-cross challenge to</w:t>
      </w:r>
      <w:r w:rsidR="00BC6766">
        <w:t xml:space="preserve"> County</w:t>
      </w:r>
      <w:r w:rsidR="00C60D77" w:rsidRPr="00C60D77">
        <w:t>’s use of a computer program to select venire members where defendant failed to show systemic exclusion, even where distinctive groups are underrepresented in a g</w:t>
      </w:r>
      <w:r>
        <w:t xml:space="preserve">iven venire); </w:t>
      </w:r>
      <w:r>
        <w:rPr>
          <w:i/>
        </w:rPr>
        <w:t>State v. Bowman</w:t>
      </w:r>
      <w:r>
        <w:t>, 349 N.C. 459 (1998) (“[d]</w:t>
      </w:r>
      <w:proofErr w:type="spellStart"/>
      <w:r>
        <w:t>efendant’s</w:t>
      </w:r>
      <w:proofErr w:type="spellEnd"/>
      <w:r>
        <w:t xml:space="preserve"> only evidence in the instant case consisted of the statistical makeup of this particular jury venire”; court found that evidence failed to show systemic exclusion under third prong of </w:t>
      </w:r>
      <w:r>
        <w:rPr>
          <w:i/>
        </w:rPr>
        <w:t>Duren</w:t>
      </w:r>
      <w:r>
        <w:t xml:space="preserve"> test).</w:t>
      </w:r>
      <w:proofErr w:type="gramEnd"/>
      <w:r>
        <w:t xml:space="preserve">  </w:t>
      </w:r>
    </w:p>
    <w:p w14:paraId="42C1AF52" w14:textId="77777777" w:rsidR="00FB09D9" w:rsidRPr="00FB09D9" w:rsidRDefault="00FB09D9" w:rsidP="003F33CA">
      <w:pPr>
        <w:pStyle w:val="NormalWeb"/>
        <w:numPr>
          <w:ilvl w:val="0"/>
          <w:numId w:val="10"/>
        </w:numPr>
        <w:shd w:val="clear" w:color="auto" w:fill="FFFFFF"/>
        <w:spacing w:before="120" w:beforeAutospacing="0" w:after="240" w:afterAutospacing="0" w:line="480" w:lineRule="auto"/>
        <w:contextualSpacing/>
        <w:rPr>
          <w:b/>
        </w:rPr>
      </w:pPr>
      <w:r w:rsidRPr="00FB09D9">
        <w:rPr>
          <w:b/>
        </w:rPr>
        <w:t xml:space="preserve">Right to </w:t>
      </w:r>
      <w:r w:rsidR="00CD6145">
        <w:rPr>
          <w:b/>
        </w:rPr>
        <w:t>Information</w:t>
      </w:r>
    </w:p>
    <w:p w14:paraId="1B6FA1F3" w14:textId="77777777" w:rsidR="00470BDF" w:rsidRDefault="00192A7A" w:rsidP="00257DA9">
      <w:pPr>
        <w:pStyle w:val="NormalWeb"/>
        <w:shd w:val="clear" w:color="auto" w:fill="FFFFFF"/>
        <w:spacing w:before="120" w:after="240" w:line="480" w:lineRule="auto"/>
        <w:ind w:firstLine="720"/>
        <w:contextualSpacing/>
      </w:pPr>
      <w:r>
        <w:t xml:space="preserve">The </w:t>
      </w:r>
      <w:r w:rsidR="00C26E5C" w:rsidRPr="00C26E5C">
        <w:t>Supreme Court</w:t>
      </w:r>
      <w:r>
        <w:t xml:space="preserve"> has recognized that </w:t>
      </w:r>
      <w:r w:rsidR="00C26E5C" w:rsidRPr="00C26E5C">
        <w:t xml:space="preserve">access to jury </w:t>
      </w:r>
      <w:r w:rsidR="009865C1">
        <w:t xml:space="preserve">formation </w:t>
      </w:r>
      <w:r w:rsidR="00C26E5C" w:rsidRPr="00C26E5C">
        <w:t>records is necessary for enforcing the fair cross-section guarantee:</w:t>
      </w:r>
      <w:r w:rsidR="00C26E5C">
        <w:t xml:space="preserve"> </w:t>
      </w:r>
      <w:r w:rsidR="00C26E5C" w:rsidRPr="00C26E5C">
        <w:t>“Without inspection, a party almost invariably would be unable to determine whether he has a potentially meritorious</w:t>
      </w:r>
      <w:r w:rsidR="00C26E5C">
        <w:t xml:space="preserve"> </w:t>
      </w:r>
      <w:r w:rsidR="00C26E5C" w:rsidRPr="00C26E5C">
        <w:t>jury challenge.”</w:t>
      </w:r>
      <w:r w:rsidR="00C26E5C">
        <w:t xml:space="preserve"> </w:t>
      </w:r>
      <w:r w:rsidR="00C26E5C" w:rsidRPr="00C26E5C">
        <w:rPr>
          <w:i/>
        </w:rPr>
        <w:t>Test v. United States</w:t>
      </w:r>
      <w:r w:rsidR="00C26E5C" w:rsidRPr="00C26E5C">
        <w:t>, 420 U.S. 28, 30 (1975).</w:t>
      </w:r>
      <w:r>
        <w:t xml:space="preserve">  </w:t>
      </w:r>
      <w:r w:rsidR="009865C1">
        <w:t>Federal law guarantees</w:t>
      </w:r>
      <w:r>
        <w:t xml:space="preserve"> access to such information by statute through the Jury Service and Selection Act (“JSSA”).  </w:t>
      </w:r>
      <w:proofErr w:type="gramStart"/>
      <w:r w:rsidRPr="00192A7A">
        <w:t>28</w:t>
      </w:r>
      <w:proofErr w:type="gramEnd"/>
      <w:r w:rsidRPr="00192A7A">
        <w:t xml:space="preserve"> U.S.C. §§ 1861-1878 (2012).</w:t>
      </w:r>
      <w:r>
        <w:t xml:space="preserve"> </w:t>
      </w:r>
      <w:r w:rsidR="009865C1">
        <w:t xml:space="preserve">While North Carolina does not have a parallel statute, </w:t>
      </w:r>
      <w:r w:rsidR="00A221B0">
        <w:t>Defendant</w:t>
      </w:r>
      <w:r w:rsidR="009865C1">
        <w:t xml:space="preserve"> nevertheless has a constitutional right to </w:t>
      </w:r>
      <w:r w:rsidR="003F33CA">
        <w:t>information</w:t>
      </w:r>
      <w:r w:rsidR="009865C1">
        <w:t xml:space="preserve"> related to his fair cross-section challenge. Courts in other states</w:t>
      </w:r>
      <w:r w:rsidR="009A63C6">
        <w:t xml:space="preserve"> that do not have statutory equivalents to the JSSA nonetheless </w:t>
      </w:r>
      <w:r w:rsidR="009865C1">
        <w:t xml:space="preserve">have </w:t>
      </w:r>
      <w:r w:rsidR="009A63C6">
        <w:t xml:space="preserve">granted the defendant’s requests for jury </w:t>
      </w:r>
      <w:r w:rsidR="009865C1">
        <w:t>formation discovery</w:t>
      </w:r>
      <w:r w:rsidR="009A63C6">
        <w:t xml:space="preserve"> on constitutional grounds, recognizing that </w:t>
      </w:r>
      <w:r w:rsidR="009865C1">
        <w:t>such access is</w:t>
      </w:r>
      <w:r w:rsidR="009A63C6">
        <w:t xml:space="preserve"> necessary to the enforcement of the fair cross-section right. </w:t>
      </w:r>
      <w:r w:rsidR="00843AA6">
        <w:t>Most recently in Iowa, the state’s highest court recognized that while it had a similar statutory counterpart to the JSSA, it nevertheless found a constitutional right to the defendant’s requests for</w:t>
      </w:r>
      <w:r w:rsidR="00687415">
        <w:t xml:space="preserve"> information about the jury panel for</w:t>
      </w:r>
      <w:r w:rsidR="000840E1">
        <w:t xml:space="preserve"> the</w:t>
      </w:r>
      <w:r w:rsidR="00687415">
        <w:t xml:space="preserve"> prior </w:t>
      </w:r>
      <w:proofErr w:type="gramStart"/>
      <w:r w:rsidR="00687415">
        <w:t>six month</w:t>
      </w:r>
      <w:proofErr w:type="gramEnd"/>
      <w:r w:rsidR="00687415">
        <w:t xml:space="preserve"> period. </w:t>
      </w:r>
      <w:r w:rsidR="00843AA6">
        <w:t xml:space="preserve"> </w:t>
      </w:r>
      <w:r w:rsidR="00687415">
        <w:rPr>
          <w:i/>
        </w:rPr>
        <w:t>State v. Plain</w:t>
      </w:r>
      <w:r w:rsidR="00687415">
        <w:t>, 898 N.W.2d 801, 828 (2017).</w:t>
      </w:r>
      <w:r w:rsidR="00843AA6">
        <w:t xml:space="preserve"> </w:t>
      </w:r>
      <w:r w:rsidR="00687415">
        <w:t>(“[T]</w:t>
      </w:r>
      <w:r w:rsidR="00843AA6">
        <w:t>he constitutional fair-cross section purpose alone is sufficient to require access to the information necessar</w:t>
      </w:r>
      <w:r w:rsidR="00687415">
        <w:t xml:space="preserve">y to prove a prima facie case.”). The court further stated, “[t]o the </w:t>
      </w:r>
      <w:r w:rsidR="00687415" w:rsidRPr="00687415">
        <w:t xml:space="preserve">extent </w:t>
      </w:r>
      <w:r w:rsidR="00687415" w:rsidRPr="00687415">
        <w:rPr>
          <w:bCs/>
        </w:rPr>
        <w:t>Plain</w:t>
      </w:r>
      <w:r w:rsidR="00687415" w:rsidRPr="00687415">
        <w:rPr>
          <w:b/>
          <w:bCs/>
        </w:rPr>
        <w:t xml:space="preserve"> </w:t>
      </w:r>
      <w:r w:rsidR="00687415" w:rsidRPr="00687415">
        <w:t>did not meet his prima facie case with respect</w:t>
      </w:r>
      <w:r w:rsidR="00687415">
        <w:t xml:space="preserve"> </w:t>
      </w:r>
      <w:r w:rsidR="00687415" w:rsidRPr="00687415">
        <w:t>to the third prong of the test, we conclude he lacked the</w:t>
      </w:r>
      <w:r w:rsidR="00687415">
        <w:t xml:space="preserve"> </w:t>
      </w:r>
      <w:r w:rsidR="00687415" w:rsidRPr="00687415">
        <w:t>opportunity to do so because he was not provided access</w:t>
      </w:r>
      <w:r w:rsidR="00687415">
        <w:t xml:space="preserve"> </w:t>
      </w:r>
      <w:r w:rsidR="00687415" w:rsidRPr="00687415">
        <w:t>to the records to which he was entitled.</w:t>
      </w:r>
      <w:r w:rsidR="00687415">
        <w:t xml:space="preserve">” </w:t>
      </w:r>
      <w:r w:rsidR="00687415">
        <w:rPr>
          <w:i/>
        </w:rPr>
        <w:t>Id.</w:t>
      </w:r>
      <w:r w:rsidR="00687415">
        <w:t xml:space="preserve"> </w:t>
      </w:r>
    </w:p>
    <w:p w14:paraId="24A4B3DB" w14:textId="77777777" w:rsidR="00594B36" w:rsidRDefault="00687415" w:rsidP="003F33CA">
      <w:pPr>
        <w:pStyle w:val="NormalWeb"/>
        <w:shd w:val="clear" w:color="auto" w:fill="FFFFFF"/>
        <w:spacing w:before="120" w:after="240" w:line="480" w:lineRule="auto"/>
        <w:ind w:firstLine="720"/>
        <w:contextualSpacing/>
      </w:pPr>
      <w:r>
        <w:t xml:space="preserve">Courts in three other jurisdictions have similarly </w:t>
      </w:r>
      <w:r w:rsidR="009865C1">
        <w:t xml:space="preserve">affirmed the </w:t>
      </w:r>
      <w:r>
        <w:t xml:space="preserve">constitutional right to access the information </w:t>
      </w:r>
      <w:r w:rsidR="00A221B0">
        <w:t>Defendant</w:t>
      </w:r>
      <w:r>
        <w:t xml:space="preserve"> is seeking</w:t>
      </w:r>
      <w:r w:rsidR="009865C1">
        <w:t>, without any threshold showing of a fair cross-section violation</w:t>
      </w:r>
      <w:r>
        <w:t xml:space="preserve">. </w:t>
      </w:r>
      <w:proofErr w:type="gramStart"/>
      <w:r>
        <w:rPr>
          <w:i/>
        </w:rPr>
        <w:t xml:space="preserve">See </w:t>
      </w:r>
      <w:r w:rsidR="0061196D" w:rsidRPr="0061196D">
        <w:rPr>
          <w:i/>
        </w:rPr>
        <w:t>Garrett</w:t>
      </w:r>
      <w:r w:rsidRPr="0061196D">
        <w:t>,</w:t>
      </w:r>
      <w:r w:rsidRPr="0061196D">
        <w:rPr>
          <w:i/>
        </w:rPr>
        <w:t xml:space="preserve"> </w:t>
      </w:r>
      <w:r w:rsidRPr="0061196D">
        <w:t xml:space="preserve">594 S.W.2d </w:t>
      </w:r>
      <w:r w:rsidR="0061196D" w:rsidRPr="0061196D">
        <w:t>at 608</w:t>
      </w:r>
      <w:r>
        <w:t xml:space="preserve"> (finding </w:t>
      </w:r>
      <w:r w:rsidR="004D0B38">
        <w:t>“[t]</w:t>
      </w:r>
      <w:r w:rsidR="00124288">
        <w:t>he court is bound…</w:t>
      </w:r>
      <w:r w:rsidRPr="00687415">
        <w:t>by the United States Supreme Court's determination of a state court</w:t>
      </w:r>
      <w:r>
        <w:t xml:space="preserve"> </w:t>
      </w:r>
      <w:r w:rsidRPr="00687415">
        <w:t xml:space="preserve">defendant's constitutional right to have his case considered by a grand jury drawn from a fair </w:t>
      </w:r>
      <w:r>
        <w:t xml:space="preserve">cross-section of his community” where a defendant requested data maintained by the circuit clerk relating to the master grand jury list that he could use to determine race and ethnicity data.); </w:t>
      </w:r>
      <w:proofErr w:type="spellStart"/>
      <w:r w:rsidR="004D0B38" w:rsidRPr="004D0B38">
        <w:rPr>
          <w:i/>
        </w:rPr>
        <w:t>Afzali</w:t>
      </w:r>
      <w:proofErr w:type="spellEnd"/>
      <w:r w:rsidR="004D0B38" w:rsidRPr="004D0B38">
        <w:rPr>
          <w:i/>
        </w:rPr>
        <w:t xml:space="preserve"> v. State</w:t>
      </w:r>
      <w:r w:rsidR="004D0B38" w:rsidRPr="004D0B38">
        <w:t>, 326 P.3d 1, 3 (Nev. 2014)</w:t>
      </w:r>
      <w:r w:rsidR="004D0B38">
        <w:t xml:space="preserve"> (finding “t</w:t>
      </w:r>
      <w:r w:rsidR="004D0B38" w:rsidRPr="004D0B38">
        <w:t>his court is bound by Supreme Court precedent, and... a defendant has a constitutional right to a</w:t>
      </w:r>
      <w:r w:rsidR="004D0B38">
        <w:t xml:space="preserve"> </w:t>
      </w:r>
      <w:r w:rsidR="004D0B38" w:rsidRPr="004D0B38">
        <w:t xml:space="preserve">grand jury drawn from a fair </w:t>
      </w:r>
      <w:r w:rsidR="004D0B38">
        <w:t>cross-section of the community” when defendant made a pretrial request for information that would identify the racial composition of the grand jury</w:t>
      </w:r>
      <w:r w:rsidR="004D0B38" w:rsidRPr="004D0B38">
        <w:t>);</w:t>
      </w:r>
      <w:r w:rsidR="004D0B38">
        <w:t xml:space="preserve"> </w:t>
      </w:r>
      <w:r w:rsidR="004D0B38" w:rsidRPr="004D0B38">
        <w:rPr>
          <w:i/>
        </w:rPr>
        <w:t>State v. Ciba-Geigy Corp</w:t>
      </w:r>
      <w:r w:rsidR="004D0B38" w:rsidRPr="004D0B38">
        <w:t>., 573 A.2d 944, 946 (N.J. Super.</w:t>
      </w:r>
      <w:proofErr w:type="gramEnd"/>
      <w:r w:rsidR="004D0B38" w:rsidRPr="004D0B38">
        <w:t xml:space="preserve"> Ct. App. Div. 1990)</w:t>
      </w:r>
      <w:r w:rsidR="004D0B38">
        <w:t xml:space="preserve"> (</w:t>
      </w:r>
      <w:r w:rsidR="004D0B38" w:rsidRPr="004D0B38">
        <w:t>affirming defendants' claim to</w:t>
      </w:r>
      <w:r w:rsidR="004D0B38">
        <w:t xml:space="preserve"> </w:t>
      </w:r>
      <w:r w:rsidR="004D0B38" w:rsidRPr="004D0B38">
        <w:t>right to information based “upon both federal and state constitutional precepts”</w:t>
      </w:r>
      <w:r w:rsidR="004D0B38">
        <w:t xml:space="preserve"> when he requested information concerning the race and ethnic background of the grand jurors.</w:t>
      </w:r>
      <w:r w:rsidR="004D0B38" w:rsidRPr="004D0B38">
        <w:t>)</w:t>
      </w:r>
      <w:r w:rsidR="004D0B38">
        <w:t xml:space="preserve">  </w:t>
      </w:r>
      <w:r w:rsidR="00124288">
        <w:t xml:space="preserve">As stated in </w:t>
      </w:r>
      <w:r w:rsidR="00124288">
        <w:rPr>
          <w:i/>
        </w:rPr>
        <w:t xml:space="preserve">Garrett, </w:t>
      </w:r>
      <w:r w:rsidR="00124288">
        <w:t xml:space="preserve">"[t]his cross-section requirement would be without meaning if a defendant were denied all means of discovery in an effort to assert that right." </w:t>
      </w:r>
      <w:proofErr w:type="gramStart"/>
      <w:r w:rsidR="00124288">
        <w:t>594</w:t>
      </w:r>
      <w:proofErr w:type="gramEnd"/>
      <w:r w:rsidR="00124288">
        <w:t xml:space="preserve"> S.W. 2d at 608. </w:t>
      </w:r>
    </w:p>
    <w:p w14:paraId="5D94A476" w14:textId="539AFA1F" w:rsidR="004D2674" w:rsidRPr="003F33CA" w:rsidRDefault="00594B36" w:rsidP="00594B36">
      <w:pPr>
        <w:pStyle w:val="NormalWeb"/>
        <w:shd w:val="clear" w:color="auto" w:fill="FFFFFF"/>
        <w:spacing w:before="120" w:after="240" w:line="480" w:lineRule="auto"/>
        <w:ind w:firstLine="720"/>
        <w:contextualSpacing/>
      </w:pPr>
      <w:r>
        <w:t xml:space="preserve">While these cases involved the request for information about the grand jury lists, the request for information also invariably applies </w:t>
      </w:r>
      <w:r w:rsidR="000840E1">
        <w:t xml:space="preserve">to </w:t>
      </w:r>
      <w:r>
        <w:t>the formation of the venire for the trial jury</w:t>
      </w:r>
      <w:r w:rsidR="000840E1">
        <w:t>,</w:t>
      </w:r>
      <w:r>
        <w:t xml:space="preserve"> as the law is clear that Defendant has a federal and state right to a petit jury drawn from a fair cross section of the community. </w:t>
      </w:r>
      <w:r w:rsidR="004D0B38">
        <w:t xml:space="preserve">As such, </w:t>
      </w:r>
      <w:r w:rsidR="00A221B0">
        <w:t>Defendant</w:t>
      </w:r>
      <w:r w:rsidR="004D0B38">
        <w:t xml:space="preserve"> similarly has a constitutional right to access the requested information in order to preserve and ensure his constitutional right to a fair trial. </w:t>
      </w:r>
    </w:p>
    <w:p w14:paraId="2A761CC8" w14:textId="77777777" w:rsidR="00FB09D9" w:rsidRDefault="00FB09D9" w:rsidP="00CD6145">
      <w:pPr>
        <w:pStyle w:val="NormalWeb"/>
        <w:shd w:val="clear" w:color="auto" w:fill="FFFFFF"/>
        <w:spacing w:line="480" w:lineRule="auto"/>
        <w:contextualSpacing/>
        <w:jc w:val="center"/>
        <w:rPr>
          <w:b/>
        </w:rPr>
      </w:pPr>
      <w:r w:rsidRPr="00FB09D9">
        <w:rPr>
          <w:b/>
        </w:rPr>
        <w:t>CONCLUSION</w:t>
      </w:r>
    </w:p>
    <w:p w14:paraId="103AFD4D" w14:textId="77777777" w:rsidR="008B5C1C" w:rsidRPr="008B5C1C" w:rsidRDefault="008B5C1C" w:rsidP="008B5C1C">
      <w:pPr>
        <w:pStyle w:val="NormalWeb"/>
        <w:shd w:val="clear" w:color="auto" w:fill="FFFFFF"/>
        <w:spacing w:before="120" w:after="240" w:line="480" w:lineRule="auto"/>
        <w:ind w:firstLine="720"/>
        <w:contextualSpacing/>
      </w:pPr>
      <w:r>
        <w:t xml:space="preserve">Therefore, Defendant requests </w:t>
      </w:r>
      <w:r w:rsidR="00594B36">
        <w:t xml:space="preserve">that the following detailed information </w:t>
      </w:r>
      <w:proofErr w:type="gramStart"/>
      <w:r w:rsidR="00594B36">
        <w:t>is preserved and provided to him so that he may, through counsel, investigate and potentially litigate challenges to the jury venire in his case</w:t>
      </w:r>
      <w:proofErr w:type="gramEnd"/>
      <w:r w:rsidR="00594B36">
        <w:t xml:space="preserve">. </w:t>
      </w:r>
      <w:r>
        <w:t xml:space="preserve">Defendant does not otherwise have access to this information unless court actors voluntarily </w:t>
      </w:r>
      <w:r w:rsidR="00594B36">
        <w:t>gather such information or the C</w:t>
      </w:r>
      <w:r>
        <w:t xml:space="preserve">ourt orders that they do so. </w:t>
      </w:r>
    </w:p>
    <w:p w14:paraId="421421E1" w14:textId="77777777" w:rsidR="003C4298" w:rsidRDefault="008B5C1C" w:rsidP="00701822">
      <w:pPr>
        <w:pStyle w:val="NormalWeb"/>
        <w:shd w:val="clear" w:color="auto" w:fill="FFFFFF"/>
        <w:spacing w:before="120" w:beforeAutospacing="0" w:after="240" w:afterAutospacing="0" w:line="480" w:lineRule="auto"/>
        <w:ind w:firstLine="720"/>
      </w:pPr>
      <w:r>
        <w:t>WHEREFORE</w:t>
      </w:r>
      <w:r w:rsidR="007F65B5">
        <w:t>, Def</w:t>
      </w:r>
      <w:r w:rsidR="004D0B38">
        <w:t xml:space="preserve">endant requests the </w:t>
      </w:r>
      <w:r>
        <w:t>C</w:t>
      </w:r>
      <w:r w:rsidR="004D0B38">
        <w:t xml:space="preserve">ourt grant </w:t>
      </w:r>
      <w:r w:rsidR="00701822">
        <w:t>the following requested relief:</w:t>
      </w:r>
    </w:p>
    <w:p w14:paraId="19648357" w14:textId="77777777" w:rsidR="008B5C1C" w:rsidRDefault="008B5C1C" w:rsidP="004175B0">
      <w:pPr>
        <w:pStyle w:val="NormalWeb"/>
        <w:shd w:val="clear" w:color="auto" w:fill="FFFFFF"/>
        <w:spacing w:before="120" w:beforeAutospacing="0" w:after="240" w:afterAutospacing="0" w:line="480" w:lineRule="auto"/>
        <w:ind w:firstLine="720"/>
      </w:pPr>
      <w:r>
        <w:t>That the following information is preserved and provided to counsel for the Defendant</w:t>
      </w:r>
      <w:r w:rsidR="00AE28D7">
        <w:t xml:space="preserve">: </w:t>
      </w:r>
    </w:p>
    <w:p w14:paraId="400F68D6" w14:textId="1FB406BB" w:rsidR="00AE28D7" w:rsidRDefault="00AE28D7" w:rsidP="00AE28D7">
      <w:pPr>
        <w:pStyle w:val="ListParagraph"/>
        <w:numPr>
          <w:ilvl w:val="1"/>
          <w:numId w:val="16"/>
        </w:numPr>
        <w:tabs>
          <w:tab w:val="left" w:pos="720"/>
          <w:tab w:val="left" w:pos="2740"/>
        </w:tabs>
        <w:spacing w:line="233" w:lineRule="auto"/>
        <w:ind w:right="86"/>
        <w:jc w:val="both"/>
      </w:pPr>
      <w:r>
        <w:t xml:space="preserve">Any documentation reflecting the jury formation process maintained by the Office of the Clerk of Court and the </w:t>
      </w:r>
      <w:r w:rsidR="00594B36" w:rsidRPr="00F05491">
        <w:t>jury software program</w:t>
      </w:r>
      <w:r w:rsidR="00F05491" w:rsidRPr="00F05491">
        <w:t xml:space="preserve"> it utilizes</w:t>
      </w:r>
      <w:r w:rsidR="00594B36" w:rsidRPr="00F05491">
        <w:t>; and</w:t>
      </w:r>
      <w:r>
        <w:t xml:space="preserve"> </w:t>
      </w:r>
    </w:p>
    <w:p w14:paraId="2A35B77B" w14:textId="77777777" w:rsidR="00AE28D7" w:rsidRDefault="00AE28D7" w:rsidP="00AE28D7">
      <w:pPr>
        <w:pStyle w:val="ListParagraph"/>
        <w:tabs>
          <w:tab w:val="left" w:pos="720"/>
          <w:tab w:val="left" w:pos="2740"/>
        </w:tabs>
        <w:spacing w:line="233" w:lineRule="auto"/>
        <w:ind w:left="1440" w:right="86"/>
        <w:jc w:val="both"/>
      </w:pPr>
    </w:p>
    <w:p w14:paraId="69CCA613" w14:textId="7803E8F9" w:rsidR="00051ACB" w:rsidRPr="00BC6766" w:rsidRDefault="00BC6766" w:rsidP="00051ACB">
      <w:pPr>
        <w:pStyle w:val="ListParagraph"/>
        <w:numPr>
          <w:ilvl w:val="1"/>
          <w:numId w:val="16"/>
        </w:numPr>
        <w:tabs>
          <w:tab w:val="left" w:pos="720"/>
          <w:tab w:val="left" w:pos="2740"/>
        </w:tabs>
        <w:spacing w:line="233" w:lineRule="auto"/>
        <w:ind w:right="86"/>
        <w:jc w:val="both"/>
      </w:pPr>
      <w:r w:rsidRPr="006E4FB9">
        <w:rPr>
          <w:highlight w:val="yellow"/>
        </w:rPr>
        <w:t>[YOUR COUNTY]</w:t>
      </w:r>
      <w:r w:rsidRPr="00BC6766">
        <w:t xml:space="preserve"> </w:t>
      </w:r>
      <w:r w:rsidR="00AE28D7" w:rsidRPr="00BC6766">
        <w:t xml:space="preserve">Jury Commission meeting minutes for creating the </w:t>
      </w:r>
      <w:r w:rsidRPr="006E4FB9">
        <w:rPr>
          <w:highlight w:val="yellow"/>
        </w:rPr>
        <w:t>[YOUR COUNTY]</w:t>
      </w:r>
      <w:r w:rsidR="00AE28D7" w:rsidRPr="00BC6766">
        <w:t xml:space="preserve"> “master” jury l</w:t>
      </w:r>
      <w:r w:rsidR="00594B36" w:rsidRPr="00BC6766">
        <w:t>ist for the 2022-2023 biennium</w:t>
      </w:r>
      <w:r w:rsidR="00C129F4">
        <w:t xml:space="preserve"> </w:t>
      </w:r>
      <w:r w:rsidR="00C129F4" w:rsidRPr="00BC6766">
        <w:rPr>
          <w:highlight w:val="yellow"/>
        </w:rPr>
        <w:t>[replace with “2022” and strike “biennium” if in county</w:t>
      </w:r>
      <w:r w:rsidR="00930A4C">
        <w:rPr>
          <w:highlight w:val="yellow"/>
        </w:rPr>
        <w:t xml:space="preserve"> with annual list updates</w:t>
      </w:r>
      <w:r w:rsidR="00C129F4" w:rsidRPr="00BC6766">
        <w:rPr>
          <w:highlight w:val="yellow"/>
        </w:rPr>
        <w:t>]</w:t>
      </w:r>
      <w:r w:rsidR="00594B36" w:rsidRPr="00BC6766">
        <w:t>; and</w:t>
      </w:r>
    </w:p>
    <w:p w14:paraId="6B0C102D" w14:textId="77777777" w:rsidR="00051ACB" w:rsidRDefault="00051ACB" w:rsidP="00051ACB">
      <w:pPr>
        <w:pStyle w:val="ListParagraph"/>
      </w:pPr>
    </w:p>
    <w:p w14:paraId="48D5700E" w14:textId="1FB73318" w:rsidR="008B5C1C" w:rsidRDefault="008B5C1C" w:rsidP="00051ACB">
      <w:pPr>
        <w:pStyle w:val="ListParagraph"/>
        <w:numPr>
          <w:ilvl w:val="1"/>
          <w:numId w:val="16"/>
        </w:numPr>
        <w:tabs>
          <w:tab w:val="left" w:pos="720"/>
          <w:tab w:val="left" w:pos="2740"/>
        </w:tabs>
        <w:spacing w:line="233" w:lineRule="auto"/>
        <w:ind w:right="86"/>
        <w:jc w:val="both"/>
      </w:pPr>
      <w:r>
        <w:t xml:space="preserve">A </w:t>
      </w:r>
      <w:r w:rsidR="00C64566">
        <w:t>copy of the "ra</w:t>
      </w:r>
      <w:r>
        <w:t>w" list of potential jurors</w:t>
      </w:r>
      <w:r w:rsidR="00594B36">
        <w:t xml:space="preserve">, which includes the potential juror's name, race, ethnicity, gender and zip code </w:t>
      </w:r>
      <w:r>
        <w:t xml:space="preserve">for </w:t>
      </w:r>
      <w:r w:rsidR="00BC6766" w:rsidRPr="006E4FB9">
        <w:rPr>
          <w:highlight w:val="yellow"/>
        </w:rPr>
        <w:t>[YOUR COUNTY]</w:t>
      </w:r>
      <w:r w:rsidR="00C64566">
        <w:t xml:space="preserve"> that is created by the </w:t>
      </w:r>
      <w:r w:rsidR="00594B36">
        <w:t>DMV</w:t>
      </w:r>
      <w:r w:rsidR="00C64566">
        <w:t xml:space="preserve"> and sent to the Clerk of Court</w:t>
      </w:r>
      <w:r w:rsidR="006D02DA">
        <w:t>; and</w:t>
      </w:r>
    </w:p>
    <w:p w14:paraId="3F389D88" w14:textId="77777777" w:rsidR="00051ACB" w:rsidRDefault="00051ACB" w:rsidP="00BC6766">
      <w:pPr>
        <w:pStyle w:val="NormalWeb"/>
        <w:shd w:val="clear" w:color="auto" w:fill="FFFFFF"/>
        <w:spacing w:before="120" w:beforeAutospacing="0" w:after="240" w:afterAutospacing="0"/>
        <w:contextualSpacing/>
      </w:pPr>
    </w:p>
    <w:p w14:paraId="7A003914" w14:textId="12B15537" w:rsidR="002708C0" w:rsidRDefault="002708C0" w:rsidP="00051ACB">
      <w:pPr>
        <w:pStyle w:val="NormalWeb"/>
        <w:numPr>
          <w:ilvl w:val="1"/>
          <w:numId w:val="16"/>
        </w:numPr>
        <w:shd w:val="clear" w:color="auto" w:fill="FFFFFF"/>
        <w:spacing w:before="120" w:beforeAutospacing="0" w:after="240" w:afterAutospacing="0"/>
        <w:contextualSpacing/>
      </w:pPr>
      <w:r>
        <w:t>A</w:t>
      </w:r>
      <w:r w:rsidR="009D0C49">
        <w:t xml:space="preserve">ll materials, </w:t>
      </w:r>
      <w:r w:rsidR="00151817">
        <w:t>in electronic or</w:t>
      </w:r>
      <w:r w:rsidR="009D0C49">
        <w:t xml:space="preserve"> paper form,</w:t>
      </w:r>
      <w:r w:rsidR="002D2D76">
        <w:t xml:space="preserve"> including but not limited to any hand-made edits by the Jury Commission,</w:t>
      </w:r>
      <w:r w:rsidR="009D0C49">
        <w:t xml:space="preserve"> that are </w:t>
      </w:r>
      <w:r w:rsidR="00C64566">
        <w:t>made</w:t>
      </w:r>
      <w:r w:rsidR="009D0C49">
        <w:t xml:space="preserve"> in the process of </w:t>
      </w:r>
      <w:r w:rsidR="00C64566">
        <w:t>editing this</w:t>
      </w:r>
      <w:r w:rsidR="009D0C49">
        <w:t xml:space="preserve"> "raw" list of potential jurors for </w:t>
      </w:r>
      <w:r w:rsidR="00BC6766" w:rsidRPr="006E4FB9">
        <w:rPr>
          <w:highlight w:val="yellow"/>
        </w:rPr>
        <w:t>[YOUR COUNTY]</w:t>
      </w:r>
      <w:r w:rsidR="009D0C49">
        <w:t xml:space="preserve"> received by the </w:t>
      </w:r>
      <w:r w:rsidR="00594B36">
        <w:t>DMV</w:t>
      </w:r>
      <w:r w:rsidR="009D0C49">
        <w:t xml:space="preserve"> in order to create the "maste</w:t>
      </w:r>
      <w:r w:rsidR="00C64566">
        <w:t>r" list of potential jurors</w:t>
      </w:r>
      <w:r>
        <w:t>; and</w:t>
      </w:r>
    </w:p>
    <w:p w14:paraId="759AA9D3" w14:textId="490D7D89" w:rsidR="002708C0" w:rsidRDefault="002708C0" w:rsidP="00051ACB">
      <w:pPr>
        <w:pStyle w:val="ListParagraph"/>
        <w:numPr>
          <w:ilvl w:val="1"/>
          <w:numId w:val="16"/>
        </w:numPr>
        <w:tabs>
          <w:tab w:val="left" w:pos="720"/>
          <w:tab w:val="left" w:pos="2740"/>
        </w:tabs>
        <w:spacing w:line="233" w:lineRule="auto"/>
        <w:ind w:right="86"/>
      </w:pPr>
      <w:r w:rsidRPr="00F9285C">
        <w:t>A</w:t>
      </w:r>
      <w:r>
        <w:t>n electronic</w:t>
      </w:r>
      <w:r w:rsidRPr="00F9285C">
        <w:t xml:space="preserve"> copy of the </w:t>
      </w:r>
      <w:r w:rsidR="00BC6766" w:rsidRPr="006E4FB9">
        <w:rPr>
          <w:highlight w:val="yellow"/>
        </w:rPr>
        <w:t>[YOUR COUNTY]</w:t>
      </w:r>
      <w:r w:rsidRPr="00F9285C">
        <w:t xml:space="preserve"> Master Jury List for </w:t>
      </w:r>
      <w:r>
        <w:t xml:space="preserve">the </w:t>
      </w:r>
      <w:r w:rsidR="00594B36">
        <w:t>2022-2023 biennium</w:t>
      </w:r>
      <w:r w:rsidR="00BC6766">
        <w:t xml:space="preserve"> </w:t>
      </w:r>
      <w:r w:rsidR="00BC6766" w:rsidRPr="00BC6766">
        <w:rPr>
          <w:highlight w:val="yellow"/>
        </w:rPr>
        <w:t>[replace with “2022” and strike “biennium” if in county</w:t>
      </w:r>
      <w:r w:rsidR="00930A4C">
        <w:rPr>
          <w:highlight w:val="yellow"/>
        </w:rPr>
        <w:t xml:space="preserve"> with annual list updates</w:t>
      </w:r>
      <w:r w:rsidR="00BC6766" w:rsidRPr="00BC6766">
        <w:rPr>
          <w:highlight w:val="yellow"/>
        </w:rPr>
        <w:t>]</w:t>
      </w:r>
      <w:r w:rsidR="00594B36">
        <w:t xml:space="preserve">; and </w:t>
      </w:r>
      <w:r w:rsidR="00051ACB">
        <w:br/>
      </w:r>
    </w:p>
    <w:p w14:paraId="497203B4" w14:textId="2595CBF6" w:rsidR="00051ACB" w:rsidRDefault="00051ACB" w:rsidP="00051ACB">
      <w:pPr>
        <w:pStyle w:val="ListParagraph"/>
        <w:numPr>
          <w:ilvl w:val="1"/>
          <w:numId w:val="16"/>
        </w:numPr>
        <w:tabs>
          <w:tab w:val="left" w:pos="720"/>
          <w:tab w:val="left" w:pos="2740"/>
        </w:tabs>
        <w:spacing w:line="233" w:lineRule="auto"/>
        <w:ind w:right="86"/>
        <w:jc w:val="both"/>
      </w:pPr>
      <w:r>
        <w:t xml:space="preserve">An electronic copy of the </w:t>
      </w:r>
      <w:r w:rsidR="00BC6766">
        <w:t>[YOUR COUNTY]</w:t>
      </w:r>
      <w:r>
        <w:t xml:space="preserve"> Master Jury list which denotes the names of persons summonsed for jury service and the dates which each person served for the 2018-2019 and 2020-2021 </w:t>
      </w:r>
      <w:proofErr w:type="spellStart"/>
      <w:r>
        <w:t>bienniums</w:t>
      </w:r>
      <w:proofErr w:type="spellEnd"/>
      <w:r w:rsidR="00BC6766">
        <w:t xml:space="preserve"> </w:t>
      </w:r>
      <w:r w:rsidR="00BC6766" w:rsidRPr="00BC6766">
        <w:rPr>
          <w:highlight w:val="yellow"/>
        </w:rPr>
        <w:t>[replace with “2019, 2020 and 2021” and strike “</w:t>
      </w:r>
      <w:proofErr w:type="spellStart"/>
      <w:r w:rsidR="00BC6766" w:rsidRPr="00BC6766">
        <w:rPr>
          <w:highlight w:val="yellow"/>
        </w:rPr>
        <w:t>bienniums</w:t>
      </w:r>
      <w:proofErr w:type="spellEnd"/>
      <w:r w:rsidR="00BC6766" w:rsidRPr="00BC6766">
        <w:rPr>
          <w:highlight w:val="yellow"/>
        </w:rPr>
        <w:t xml:space="preserve">” if in </w:t>
      </w:r>
      <w:r w:rsidR="00930A4C">
        <w:rPr>
          <w:highlight w:val="yellow"/>
        </w:rPr>
        <w:t>county with annual list updates</w:t>
      </w:r>
      <w:r w:rsidR="00BC6766" w:rsidRPr="00BC6766">
        <w:rPr>
          <w:highlight w:val="yellow"/>
        </w:rPr>
        <w:t>]</w:t>
      </w:r>
      <w:r w:rsidRPr="00BC6766">
        <w:rPr>
          <w:highlight w:val="yellow"/>
        </w:rPr>
        <w:t>;</w:t>
      </w:r>
      <w:r>
        <w:t xml:space="preserve"> and </w:t>
      </w:r>
    </w:p>
    <w:p w14:paraId="3604FA91" w14:textId="77777777" w:rsidR="00051ACB" w:rsidRDefault="00051ACB" w:rsidP="00051ACB">
      <w:pPr>
        <w:pStyle w:val="ListParagraph"/>
        <w:tabs>
          <w:tab w:val="left" w:pos="720"/>
          <w:tab w:val="left" w:pos="2740"/>
        </w:tabs>
        <w:spacing w:line="233" w:lineRule="auto"/>
        <w:ind w:left="1440" w:right="86"/>
        <w:jc w:val="both"/>
      </w:pPr>
    </w:p>
    <w:p w14:paraId="780D4EE9" w14:textId="19AEFF50" w:rsidR="00051ACB" w:rsidRDefault="00051ACB" w:rsidP="00051ACB">
      <w:pPr>
        <w:pStyle w:val="ListParagraph"/>
        <w:numPr>
          <w:ilvl w:val="1"/>
          <w:numId w:val="16"/>
        </w:numPr>
        <w:tabs>
          <w:tab w:val="left" w:pos="720"/>
          <w:tab w:val="left" w:pos="2740"/>
        </w:tabs>
        <w:spacing w:line="233" w:lineRule="auto"/>
        <w:ind w:right="86"/>
        <w:jc w:val="both"/>
      </w:pPr>
      <w:r w:rsidRPr="00051ACB">
        <w:t xml:space="preserve">An </w:t>
      </w:r>
      <w:r>
        <w:t>e</w:t>
      </w:r>
      <w:r w:rsidRPr="00051ACB">
        <w:t xml:space="preserve">lectronic copy of list of jurors </w:t>
      </w:r>
      <w:r>
        <w:t xml:space="preserve">who were summonsed, and a notation of those who appeared, </w:t>
      </w:r>
      <w:r w:rsidRPr="00051ACB">
        <w:t xml:space="preserve">for any </w:t>
      </w:r>
      <w:r>
        <w:t>trial sessions of superior court between January 1, 2022 and</w:t>
      </w:r>
      <w:r w:rsidR="00C129F4">
        <w:t xml:space="preserve"> </w:t>
      </w:r>
      <w:r w:rsidR="00C129F4" w:rsidRPr="00C129F4">
        <w:rPr>
          <w:highlight w:val="yellow"/>
        </w:rPr>
        <w:t>[insert date certain for your defendant’s trial or leave as “and defendant’s trial”]</w:t>
      </w:r>
      <w:r>
        <w:t>; and</w:t>
      </w:r>
    </w:p>
    <w:p w14:paraId="3199305D" w14:textId="77777777" w:rsidR="002708C0" w:rsidRDefault="002708C0" w:rsidP="002708C0">
      <w:pPr>
        <w:pStyle w:val="ListParagraph"/>
        <w:tabs>
          <w:tab w:val="left" w:pos="720"/>
          <w:tab w:val="left" w:pos="2740"/>
        </w:tabs>
        <w:spacing w:line="233" w:lineRule="auto"/>
        <w:ind w:left="1440" w:right="86"/>
        <w:jc w:val="both"/>
      </w:pPr>
    </w:p>
    <w:p w14:paraId="5CE13307" w14:textId="77777777" w:rsidR="00051ACB" w:rsidRDefault="002708C0" w:rsidP="00051ACB">
      <w:pPr>
        <w:pStyle w:val="ListParagraph"/>
        <w:numPr>
          <w:ilvl w:val="1"/>
          <w:numId w:val="16"/>
        </w:numPr>
        <w:tabs>
          <w:tab w:val="left" w:pos="720"/>
          <w:tab w:val="left" w:pos="2740"/>
        </w:tabs>
        <w:spacing w:line="233" w:lineRule="auto"/>
        <w:ind w:right="86"/>
        <w:jc w:val="both"/>
      </w:pPr>
      <w:r>
        <w:t>An electronic copy of the list of jurors summonsed for the session o</w:t>
      </w:r>
      <w:r w:rsidR="00594B36">
        <w:t>f court for defendant’s trial; and</w:t>
      </w:r>
    </w:p>
    <w:p w14:paraId="466F8C2D" w14:textId="77777777" w:rsidR="00051ACB" w:rsidRDefault="00051ACB" w:rsidP="00051ACB">
      <w:pPr>
        <w:pStyle w:val="ListParagraph"/>
      </w:pPr>
    </w:p>
    <w:p w14:paraId="4061851F" w14:textId="6106EEB3" w:rsidR="00051ACB" w:rsidRDefault="002708C0" w:rsidP="00051ACB">
      <w:pPr>
        <w:pStyle w:val="ListParagraph"/>
        <w:numPr>
          <w:ilvl w:val="1"/>
          <w:numId w:val="16"/>
        </w:numPr>
        <w:tabs>
          <w:tab w:val="left" w:pos="720"/>
          <w:tab w:val="left" w:pos="2740"/>
        </w:tabs>
        <w:spacing w:line="233" w:lineRule="auto"/>
        <w:ind w:right="86"/>
        <w:jc w:val="both"/>
      </w:pPr>
      <w:r>
        <w:t>A</w:t>
      </w:r>
      <w:r w:rsidR="009D0C49" w:rsidRPr="009D0C49">
        <w:t xml:space="preserve">ll summons returned as "undeliverable," or otherwise returned as not served on the potential juror </w:t>
      </w:r>
      <w:r w:rsidR="00C129F4">
        <w:t>for</w:t>
      </w:r>
      <w:r w:rsidR="00C129F4" w:rsidRPr="00051ACB">
        <w:t xml:space="preserve"> any </w:t>
      </w:r>
      <w:r w:rsidR="00C129F4">
        <w:t xml:space="preserve">trial sessions of superior court between January 1, 2022 and </w:t>
      </w:r>
      <w:r w:rsidR="00C129F4" w:rsidRPr="00C129F4">
        <w:rPr>
          <w:highlight w:val="yellow"/>
        </w:rPr>
        <w:t>[insert date certain for your defendant’s trial or leave as “and defendant’s trial”]</w:t>
      </w:r>
      <w:r w:rsidR="00C129F4">
        <w:t>, including defendant’s trial,</w:t>
      </w:r>
      <w:r>
        <w:t xml:space="preserve"> </w:t>
      </w:r>
      <w:r w:rsidR="009D0C49" w:rsidRPr="009D0C49">
        <w:t>are preserved and made available for inspection</w:t>
      </w:r>
      <w:r w:rsidR="006D02DA">
        <w:t xml:space="preserve"> and copying</w:t>
      </w:r>
      <w:r w:rsidR="00C64566">
        <w:t xml:space="preserve">; and </w:t>
      </w:r>
    </w:p>
    <w:p w14:paraId="783CC9E1" w14:textId="77777777" w:rsidR="00051ACB" w:rsidRDefault="00051ACB" w:rsidP="00051ACB">
      <w:pPr>
        <w:pStyle w:val="ListParagraph"/>
      </w:pPr>
    </w:p>
    <w:p w14:paraId="4F19B1DA" w14:textId="2CFE51E0" w:rsidR="00051ACB" w:rsidRDefault="002708C0" w:rsidP="00051ACB">
      <w:pPr>
        <w:pStyle w:val="ListParagraph"/>
        <w:numPr>
          <w:ilvl w:val="1"/>
          <w:numId w:val="16"/>
        </w:numPr>
        <w:tabs>
          <w:tab w:val="left" w:pos="720"/>
          <w:tab w:val="left" w:pos="2740"/>
        </w:tabs>
        <w:spacing w:line="233" w:lineRule="auto"/>
        <w:ind w:right="86"/>
        <w:jc w:val="both"/>
      </w:pPr>
      <w:r>
        <w:t>A response in writing of w</w:t>
      </w:r>
      <w:r w:rsidR="00AE28D7">
        <w:t xml:space="preserve">hat steps, if any, </w:t>
      </w:r>
      <w:r w:rsidR="00BC6766" w:rsidRPr="006E4FB9">
        <w:rPr>
          <w:highlight w:val="yellow"/>
        </w:rPr>
        <w:t>[YOUR COUNTY]</w:t>
      </w:r>
      <w:r w:rsidR="00AE28D7" w:rsidRPr="00F9285C">
        <w:t xml:space="preserve"> takes t</w:t>
      </w:r>
      <w:r w:rsidR="00AE28D7">
        <w:t>o address undeliverable summons; and</w:t>
      </w:r>
    </w:p>
    <w:p w14:paraId="27C8CE71" w14:textId="77777777" w:rsidR="00051ACB" w:rsidRDefault="00051ACB" w:rsidP="00051ACB">
      <w:pPr>
        <w:pStyle w:val="ListParagraph"/>
      </w:pPr>
    </w:p>
    <w:p w14:paraId="5DA47B26" w14:textId="77777777" w:rsidR="00051ACB" w:rsidRDefault="00AE28D7" w:rsidP="00051ACB">
      <w:pPr>
        <w:pStyle w:val="ListParagraph"/>
        <w:numPr>
          <w:ilvl w:val="1"/>
          <w:numId w:val="16"/>
        </w:numPr>
        <w:tabs>
          <w:tab w:val="left" w:pos="720"/>
          <w:tab w:val="left" w:pos="2740"/>
        </w:tabs>
        <w:spacing w:line="233" w:lineRule="auto"/>
        <w:ind w:right="86"/>
        <w:jc w:val="both"/>
      </w:pPr>
      <w:r w:rsidRPr="00F9285C">
        <w:t>Any policies and procedures for addressing deferrals an</w:t>
      </w:r>
      <w:r>
        <w:t>d excuses prior to jury service; and</w:t>
      </w:r>
    </w:p>
    <w:p w14:paraId="0A154031" w14:textId="77777777" w:rsidR="00051ACB" w:rsidRDefault="00051ACB" w:rsidP="00051ACB">
      <w:pPr>
        <w:pStyle w:val="ListParagraph"/>
      </w:pPr>
    </w:p>
    <w:p w14:paraId="6C4C540A" w14:textId="77777777" w:rsidR="00051ACB" w:rsidRDefault="002708C0" w:rsidP="00051ACB">
      <w:pPr>
        <w:pStyle w:val="ListParagraph"/>
        <w:numPr>
          <w:ilvl w:val="1"/>
          <w:numId w:val="16"/>
        </w:numPr>
        <w:tabs>
          <w:tab w:val="left" w:pos="720"/>
          <w:tab w:val="left" w:pos="2740"/>
        </w:tabs>
        <w:spacing w:line="233" w:lineRule="auto"/>
        <w:ind w:right="86"/>
        <w:jc w:val="both"/>
      </w:pPr>
      <w:r>
        <w:t>A</w:t>
      </w:r>
      <w:r w:rsidR="002C42B4">
        <w:t>ny documentation reflecting the excusal or deferral of jurors pri</w:t>
      </w:r>
      <w:r>
        <w:t>or to their appearance in court</w:t>
      </w:r>
      <w:r w:rsidR="002C42B4">
        <w:t xml:space="preserve"> for jury service </w:t>
      </w:r>
      <w:r>
        <w:t xml:space="preserve">in the defendant’s trial </w:t>
      </w:r>
      <w:r w:rsidR="002C42B4">
        <w:t>is preserved and made available for inspection</w:t>
      </w:r>
      <w:r w:rsidR="006D02DA">
        <w:t xml:space="preserve"> and copying</w:t>
      </w:r>
      <w:r w:rsidR="008B5C1C">
        <w:t>;</w:t>
      </w:r>
      <w:r w:rsidR="00AE28D7">
        <w:t xml:space="preserve"> and</w:t>
      </w:r>
    </w:p>
    <w:p w14:paraId="47410555" w14:textId="77777777" w:rsidR="00051ACB" w:rsidRDefault="00051ACB" w:rsidP="00051ACB">
      <w:pPr>
        <w:pStyle w:val="ListParagraph"/>
      </w:pPr>
    </w:p>
    <w:p w14:paraId="247677E8" w14:textId="620F7601" w:rsidR="002708C0" w:rsidRDefault="002708C0" w:rsidP="00051ACB">
      <w:pPr>
        <w:pStyle w:val="ListParagraph"/>
        <w:numPr>
          <w:ilvl w:val="1"/>
          <w:numId w:val="16"/>
        </w:numPr>
        <w:tabs>
          <w:tab w:val="left" w:pos="720"/>
          <w:tab w:val="left" w:pos="2740"/>
        </w:tabs>
        <w:spacing w:line="233" w:lineRule="auto"/>
        <w:ind w:right="86"/>
        <w:jc w:val="both"/>
      </w:pPr>
      <w:r>
        <w:t>A response in writing of w</w:t>
      </w:r>
      <w:r w:rsidR="00AE28D7" w:rsidRPr="00F9285C">
        <w:t>hat st</w:t>
      </w:r>
      <w:r>
        <w:t xml:space="preserve">eps, if any, </w:t>
      </w:r>
      <w:r w:rsidR="00BC6766" w:rsidRPr="006E4FB9">
        <w:rPr>
          <w:highlight w:val="yellow"/>
        </w:rPr>
        <w:t>[YOUR COUNTY]</w:t>
      </w:r>
      <w:r w:rsidR="00AE28D7" w:rsidRPr="00F9285C">
        <w:t xml:space="preserve"> takes to address jurors not reporting when summonsed.</w:t>
      </w:r>
    </w:p>
    <w:p w14:paraId="6FE2B394" w14:textId="77777777" w:rsidR="002708C0" w:rsidRDefault="002708C0" w:rsidP="002708C0">
      <w:pPr>
        <w:pStyle w:val="ListParagraph"/>
        <w:tabs>
          <w:tab w:val="left" w:pos="720"/>
          <w:tab w:val="left" w:pos="2740"/>
        </w:tabs>
        <w:spacing w:line="233" w:lineRule="auto"/>
        <w:ind w:left="1440" w:right="86"/>
        <w:jc w:val="both"/>
      </w:pPr>
    </w:p>
    <w:p w14:paraId="67102CB9" w14:textId="77777777" w:rsidR="004175B0" w:rsidRDefault="008B5C1C" w:rsidP="004175B0">
      <w:pPr>
        <w:pStyle w:val="ListParagraph"/>
        <w:numPr>
          <w:ilvl w:val="1"/>
          <w:numId w:val="16"/>
        </w:numPr>
        <w:tabs>
          <w:tab w:val="left" w:pos="720"/>
          <w:tab w:val="left" w:pos="2740"/>
        </w:tabs>
        <w:spacing w:line="233" w:lineRule="auto"/>
        <w:ind w:right="86"/>
        <w:jc w:val="both"/>
      </w:pPr>
      <w:r>
        <w:t xml:space="preserve">An electronic copy of the list of jurors who appear for jury service for the session </w:t>
      </w:r>
      <w:r w:rsidR="004175B0">
        <w:t xml:space="preserve">of court for defendant’s trial; and </w:t>
      </w:r>
    </w:p>
    <w:p w14:paraId="7290AE10" w14:textId="77777777" w:rsidR="004175B0" w:rsidRDefault="004175B0" w:rsidP="004175B0">
      <w:pPr>
        <w:pStyle w:val="ListParagraph"/>
      </w:pPr>
    </w:p>
    <w:p w14:paraId="33729B7E" w14:textId="77777777" w:rsidR="002708C0" w:rsidRDefault="002708C0" w:rsidP="004175B0">
      <w:pPr>
        <w:pStyle w:val="ListParagraph"/>
        <w:numPr>
          <w:ilvl w:val="1"/>
          <w:numId w:val="16"/>
        </w:numPr>
        <w:tabs>
          <w:tab w:val="left" w:pos="720"/>
          <w:tab w:val="left" w:pos="2740"/>
        </w:tabs>
        <w:spacing w:line="233" w:lineRule="auto"/>
        <w:ind w:right="86"/>
        <w:jc w:val="both"/>
      </w:pPr>
      <w:r>
        <w:t xml:space="preserve">Any and all other relief the Court deems appropriate to </w:t>
      </w:r>
      <w:proofErr w:type="gramStart"/>
      <w:r>
        <w:t>effectuate</w:t>
      </w:r>
      <w:proofErr w:type="gramEnd"/>
      <w:r>
        <w:t xml:space="preserve"> the purpose of this Motion. </w:t>
      </w:r>
    </w:p>
    <w:p w14:paraId="4EC3F808" w14:textId="77777777" w:rsidR="009D0C49" w:rsidRDefault="009D0C49" w:rsidP="009D0C49">
      <w:pPr>
        <w:pStyle w:val="ListParagraph"/>
      </w:pPr>
    </w:p>
    <w:p w14:paraId="4F0F1AC7" w14:textId="77777777" w:rsidR="009D0C49" w:rsidRDefault="009D0C49" w:rsidP="009D0C49">
      <w:pPr>
        <w:pStyle w:val="ListParagraph"/>
        <w:ind w:left="1080"/>
        <w:jc w:val="both"/>
      </w:pPr>
    </w:p>
    <w:p w14:paraId="11833643" w14:textId="77777777" w:rsidR="006B01EF" w:rsidRPr="00DE76B5" w:rsidRDefault="006B01EF" w:rsidP="00CD6145">
      <w:pPr>
        <w:spacing w:line="480" w:lineRule="auto"/>
        <w:ind w:firstLine="720"/>
        <w:jc w:val="both"/>
      </w:pPr>
      <w:r w:rsidRPr="00DE76B5">
        <w:t xml:space="preserve">Respectfully submitted, this the </w:t>
      </w:r>
      <w:r w:rsidR="0013738C">
        <w:t>___</w:t>
      </w:r>
      <w:r w:rsidR="00CD6145">
        <w:t xml:space="preserve"> </w:t>
      </w:r>
      <w:r w:rsidRPr="00DE76B5">
        <w:t xml:space="preserve">day of </w:t>
      </w:r>
      <w:r w:rsidR="0013738C">
        <w:t>______</w:t>
      </w:r>
      <w:r w:rsidR="00594B36">
        <w:t>___________</w:t>
      </w:r>
      <w:r w:rsidR="004E4658">
        <w:t>_______, 2021</w:t>
      </w:r>
      <w:r w:rsidR="00594B36">
        <w:t xml:space="preserve">. </w:t>
      </w:r>
    </w:p>
    <w:p w14:paraId="71C56661" w14:textId="77777777" w:rsidR="004175B0" w:rsidRDefault="004175B0" w:rsidP="004E4658">
      <w:pPr>
        <w:ind w:left="4320" w:firstLine="720"/>
      </w:pPr>
    </w:p>
    <w:p w14:paraId="3CF5805D" w14:textId="77777777" w:rsidR="004175B0" w:rsidRDefault="004175B0" w:rsidP="004E4658">
      <w:pPr>
        <w:ind w:left="4320" w:firstLine="720"/>
      </w:pPr>
    </w:p>
    <w:p w14:paraId="314A43A2" w14:textId="77777777" w:rsidR="004E4658" w:rsidRDefault="006B01EF" w:rsidP="004E4658">
      <w:pPr>
        <w:ind w:left="4320" w:firstLine="720"/>
      </w:pPr>
      <w:r w:rsidRPr="00DE76B5">
        <w:t>_____________________________</w:t>
      </w:r>
    </w:p>
    <w:p w14:paraId="218D0C63" w14:textId="79921284" w:rsidR="004E4658" w:rsidRDefault="00BC6766" w:rsidP="004E4658">
      <w:pPr>
        <w:ind w:left="4320" w:firstLine="720"/>
      </w:pPr>
      <w:r>
        <w:t>SIGNATURE LINE</w:t>
      </w:r>
    </w:p>
    <w:p w14:paraId="73DD4770" w14:textId="3D52CCF7" w:rsidR="00BC6766" w:rsidRDefault="00BC6766" w:rsidP="004E4658">
      <w:pPr>
        <w:ind w:left="4320" w:firstLine="720"/>
      </w:pPr>
    </w:p>
    <w:p w14:paraId="2C8DEEB5" w14:textId="5B1F3B66" w:rsidR="00BC6766" w:rsidRDefault="00BC6766" w:rsidP="004E4658">
      <w:pPr>
        <w:ind w:left="4320" w:firstLine="720"/>
      </w:pPr>
    </w:p>
    <w:p w14:paraId="58369869" w14:textId="2167ED94" w:rsidR="00BC6766" w:rsidRDefault="00BC6766" w:rsidP="004E4658">
      <w:pPr>
        <w:ind w:left="4320" w:firstLine="720"/>
      </w:pPr>
    </w:p>
    <w:p w14:paraId="2B120C9A" w14:textId="67C4B210" w:rsidR="00BC6766" w:rsidRDefault="00BC6766" w:rsidP="004E4658">
      <w:pPr>
        <w:ind w:left="4320" w:firstLine="720"/>
      </w:pPr>
    </w:p>
    <w:p w14:paraId="7FF010FC" w14:textId="77777777" w:rsidR="00BC6766" w:rsidRDefault="00BC6766" w:rsidP="004E4658">
      <w:pPr>
        <w:ind w:left="4320" w:firstLine="720"/>
      </w:pPr>
    </w:p>
    <w:p w14:paraId="3B20F793" w14:textId="77777777" w:rsidR="00883373" w:rsidRDefault="00883373" w:rsidP="006B01EF">
      <w:pPr>
        <w:tabs>
          <w:tab w:val="left" w:pos="-720"/>
        </w:tabs>
        <w:suppressAutoHyphens/>
        <w:jc w:val="center"/>
        <w:rPr>
          <w:b/>
        </w:rPr>
      </w:pPr>
    </w:p>
    <w:p w14:paraId="74C4DE35" w14:textId="55157725" w:rsidR="00F05491" w:rsidRDefault="00F05491" w:rsidP="00C129F4">
      <w:pPr>
        <w:tabs>
          <w:tab w:val="left" w:pos="-720"/>
        </w:tabs>
        <w:suppressAutoHyphens/>
        <w:rPr>
          <w:b/>
        </w:rPr>
      </w:pPr>
    </w:p>
    <w:p w14:paraId="33889DBC" w14:textId="77777777" w:rsidR="00C129F4" w:rsidRDefault="00C129F4" w:rsidP="00C129F4">
      <w:pPr>
        <w:tabs>
          <w:tab w:val="left" w:pos="-720"/>
        </w:tabs>
        <w:suppressAutoHyphens/>
        <w:rPr>
          <w:b/>
        </w:rPr>
      </w:pPr>
    </w:p>
    <w:p w14:paraId="27632D70" w14:textId="77777777" w:rsidR="002C42B4" w:rsidRDefault="002C42B4" w:rsidP="006B01EF">
      <w:pPr>
        <w:tabs>
          <w:tab w:val="left" w:pos="-720"/>
        </w:tabs>
        <w:suppressAutoHyphens/>
        <w:jc w:val="center"/>
        <w:rPr>
          <w:b/>
        </w:rPr>
      </w:pPr>
    </w:p>
    <w:p w14:paraId="22D2E679" w14:textId="77777777" w:rsidR="006B01EF" w:rsidRPr="00DE76B5" w:rsidRDefault="006B01EF" w:rsidP="006B01EF">
      <w:pPr>
        <w:tabs>
          <w:tab w:val="left" w:pos="-720"/>
        </w:tabs>
        <w:suppressAutoHyphens/>
        <w:jc w:val="center"/>
        <w:rPr>
          <w:b/>
        </w:rPr>
      </w:pPr>
      <w:r w:rsidRPr="00DE76B5">
        <w:rPr>
          <w:b/>
        </w:rPr>
        <w:t>CERTIFICATE OF SERVICE</w:t>
      </w:r>
    </w:p>
    <w:p w14:paraId="0FE0800F" w14:textId="77777777" w:rsidR="006B01EF" w:rsidRPr="00DE76B5" w:rsidRDefault="006B01EF" w:rsidP="006B01EF">
      <w:pPr>
        <w:tabs>
          <w:tab w:val="left" w:pos="-720"/>
        </w:tabs>
        <w:suppressAutoHyphens/>
        <w:jc w:val="both"/>
      </w:pPr>
    </w:p>
    <w:p w14:paraId="329D7998" w14:textId="77777777" w:rsidR="006B01EF" w:rsidRPr="00DE76B5" w:rsidRDefault="006B01EF" w:rsidP="006B01EF">
      <w:pPr>
        <w:ind w:firstLine="720"/>
      </w:pPr>
      <w:r w:rsidRPr="00DE76B5">
        <w:tab/>
        <w:t>THIS IS TO CERTIFY that the undersigned attorney served a copy of the foregoing Motion on the State of North Carolina by hand delivery:</w:t>
      </w:r>
    </w:p>
    <w:p w14:paraId="5E4E9442" w14:textId="77777777" w:rsidR="006B01EF" w:rsidRPr="00DE76B5" w:rsidRDefault="006B01EF" w:rsidP="006B01EF">
      <w:pPr>
        <w:ind w:firstLine="720"/>
      </w:pPr>
    </w:p>
    <w:p w14:paraId="4F28A916" w14:textId="3251E3D0" w:rsidR="004E4658" w:rsidRPr="00207ECA" w:rsidRDefault="00BC6766" w:rsidP="004E4658">
      <w:pPr>
        <w:ind w:firstLine="720"/>
      </w:pPr>
      <w:r>
        <w:t>DA Office</w:t>
      </w:r>
    </w:p>
    <w:p w14:paraId="65EB9F23" w14:textId="77777777" w:rsidR="004E4658" w:rsidRPr="00207ECA" w:rsidRDefault="004E4658" w:rsidP="004E4658">
      <w:pPr>
        <w:ind w:firstLine="720"/>
      </w:pPr>
    </w:p>
    <w:p w14:paraId="5BE05697" w14:textId="0EE57C6E" w:rsidR="001B4A60" w:rsidRDefault="00BC6766" w:rsidP="001B4A60">
      <w:pPr>
        <w:ind w:firstLine="720"/>
      </w:pPr>
      <w:r>
        <w:t>Clerk of Superior Court</w:t>
      </w:r>
      <w:r w:rsidR="006E4FB9">
        <w:t xml:space="preserve"> </w:t>
      </w:r>
      <w:r w:rsidR="006E4FB9" w:rsidRPr="006E4FB9">
        <w:rPr>
          <w:highlight w:val="yellow"/>
        </w:rPr>
        <w:t>[Be sure to serve a copy on the Clerk]</w:t>
      </w:r>
    </w:p>
    <w:p w14:paraId="4866BBD7" w14:textId="77777777" w:rsidR="001B4A60" w:rsidRDefault="001B4A60" w:rsidP="001B4A60">
      <w:pPr>
        <w:ind w:firstLine="720"/>
      </w:pPr>
    </w:p>
    <w:p w14:paraId="284110E8" w14:textId="77777777" w:rsidR="001B4A60" w:rsidRDefault="001B4A60" w:rsidP="001B4A60">
      <w:pPr>
        <w:ind w:firstLine="720"/>
      </w:pPr>
    </w:p>
    <w:p w14:paraId="63325A0A" w14:textId="77777777" w:rsidR="001B4A60" w:rsidRPr="00207ECA" w:rsidRDefault="001B4A60" w:rsidP="001B4A60">
      <w:pPr>
        <w:ind w:firstLine="720"/>
      </w:pPr>
    </w:p>
    <w:p w14:paraId="1DB50F98" w14:textId="77777777" w:rsidR="004E4658" w:rsidRPr="00207ECA" w:rsidRDefault="004E4658" w:rsidP="004E4658">
      <w:r w:rsidRPr="00207ECA">
        <w:t xml:space="preserve">This the </w:t>
      </w:r>
      <w:r>
        <w:t xml:space="preserve">____ day of __________________, 2021.   </w:t>
      </w:r>
      <w:bookmarkStart w:id="0" w:name="_GoBack"/>
      <w:bookmarkEnd w:id="0"/>
    </w:p>
    <w:p w14:paraId="46240B84" w14:textId="77777777" w:rsidR="004E4658" w:rsidRPr="00207ECA" w:rsidRDefault="004E4658" w:rsidP="004E4658"/>
    <w:p w14:paraId="6FDAA3DD" w14:textId="77777777" w:rsidR="004E4658" w:rsidRPr="00207ECA" w:rsidRDefault="004E4658" w:rsidP="004E4658"/>
    <w:p w14:paraId="31CD381E" w14:textId="77777777" w:rsidR="004E4658" w:rsidRPr="00207ECA" w:rsidRDefault="004E4658" w:rsidP="004E4658"/>
    <w:p w14:paraId="28EEA0DB" w14:textId="77777777" w:rsidR="004E4658" w:rsidRPr="00207ECA" w:rsidRDefault="004E4658" w:rsidP="004E4658">
      <w:pPr>
        <w:ind w:firstLine="5040"/>
      </w:pPr>
      <w:r w:rsidRPr="00207ECA">
        <w:t>______________________________</w:t>
      </w:r>
    </w:p>
    <w:p w14:paraId="453C49C6" w14:textId="57782218" w:rsidR="004E4658" w:rsidRDefault="004E4658" w:rsidP="00BC6766">
      <w:r w:rsidRPr="00207ECA">
        <w:tab/>
      </w:r>
      <w:r w:rsidRPr="00207ECA">
        <w:tab/>
      </w:r>
      <w:r w:rsidRPr="00207ECA">
        <w:tab/>
      </w:r>
      <w:r w:rsidRPr="00207ECA">
        <w:tab/>
      </w:r>
      <w:r w:rsidRPr="00207ECA">
        <w:tab/>
      </w:r>
      <w:r w:rsidRPr="00207ECA">
        <w:tab/>
      </w:r>
      <w:r w:rsidRPr="00207ECA">
        <w:tab/>
      </w:r>
      <w:r w:rsidR="00BC6766">
        <w:t>SIGNATURE LINE</w:t>
      </w:r>
    </w:p>
    <w:p w14:paraId="34E6F7D0" w14:textId="77777777" w:rsidR="00361A7A" w:rsidRPr="009E3EA9" w:rsidRDefault="00361A7A" w:rsidP="006B01EF">
      <w:pPr>
        <w:ind w:left="360"/>
        <w:jc w:val="both"/>
      </w:pPr>
    </w:p>
    <w:sectPr w:rsidR="00361A7A" w:rsidRPr="009E3EA9" w:rsidSect="00CD6145">
      <w:footerReference w:type="default" r:id="rId8"/>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5703" w16cex:dateUtc="2021-10-07T15:22:00Z"/>
  <w16cex:commentExtensible w16cex:durableId="25095E18" w16cex:dateUtc="2021-10-07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DDF54" w16cid:durableId="25095703"/>
  <w16cid:commentId w16cid:paraId="1E524ADB" w16cid:durableId="25095E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6191" w14:textId="77777777" w:rsidR="00543391" w:rsidRDefault="00543391" w:rsidP="00486FEA">
      <w:r>
        <w:separator/>
      </w:r>
    </w:p>
  </w:endnote>
  <w:endnote w:type="continuationSeparator" w:id="0">
    <w:p w14:paraId="613BF273" w14:textId="77777777" w:rsidR="00543391" w:rsidRDefault="00543391" w:rsidP="0048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54731"/>
      <w:docPartObj>
        <w:docPartGallery w:val="Page Numbers (Bottom of Page)"/>
        <w:docPartUnique/>
      </w:docPartObj>
    </w:sdtPr>
    <w:sdtEndPr>
      <w:rPr>
        <w:noProof/>
      </w:rPr>
    </w:sdtEndPr>
    <w:sdtContent>
      <w:p w14:paraId="556CC61B" w14:textId="21E0F712" w:rsidR="007938FD" w:rsidRDefault="00BF4D4B">
        <w:pPr>
          <w:pStyle w:val="Footer"/>
          <w:jc w:val="center"/>
        </w:pPr>
        <w:r>
          <w:rPr>
            <w:noProof/>
          </w:rPr>
          <w:fldChar w:fldCharType="begin"/>
        </w:r>
        <w:r>
          <w:rPr>
            <w:noProof/>
          </w:rPr>
          <w:instrText xml:space="preserve"> PAGE   \* MERGEFORMAT </w:instrText>
        </w:r>
        <w:r>
          <w:rPr>
            <w:noProof/>
          </w:rPr>
          <w:fldChar w:fldCharType="separate"/>
        </w:r>
        <w:r w:rsidR="006E4FB9">
          <w:rPr>
            <w:noProof/>
          </w:rPr>
          <w:t>9</w:t>
        </w:r>
        <w:r>
          <w:rPr>
            <w:noProof/>
          </w:rPr>
          <w:fldChar w:fldCharType="end"/>
        </w:r>
      </w:p>
    </w:sdtContent>
  </w:sdt>
  <w:p w14:paraId="48F8E076" w14:textId="77777777" w:rsidR="007938FD" w:rsidRDefault="0079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CCA4" w14:textId="77777777" w:rsidR="00543391" w:rsidRDefault="00543391" w:rsidP="00486FEA">
      <w:r>
        <w:separator/>
      </w:r>
    </w:p>
  </w:footnote>
  <w:footnote w:type="continuationSeparator" w:id="0">
    <w:p w14:paraId="6FC81EF7" w14:textId="77777777" w:rsidR="00543391" w:rsidRDefault="00543391" w:rsidP="0048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8B"/>
    <w:multiLevelType w:val="hybridMultilevel"/>
    <w:tmpl w:val="A9CA583C"/>
    <w:lvl w:ilvl="0" w:tplc="AF0AA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A61B3F"/>
    <w:multiLevelType w:val="hybridMultilevel"/>
    <w:tmpl w:val="AAC4BE56"/>
    <w:lvl w:ilvl="0" w:tplc="CEE0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D0028"/>
    <w:multiLevelType w:val="hybridMultilevel"/>
    <w:tmpl w:val="D3AE73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70A4E"/>
    <w:multiLevelType w:val="hybridMultilevel"/>
    <w:tmpl w:val="9C5028CA"/>
    <w:lvl w:ilvl="0" w:tplc="253CBDB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139D5"/>
    <w:multiLevelType w:val="hybridMultilevel"/>
    <w:tmpl w:val="81D06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80CA2"/>
    <w:multiLevelType w:val="hybridMultilevel"/>
    <w:tmpl w:val="E8F0BEF8"/>
    <w:lvl w:ilvl="0" w:tplc="623AB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7157BE"/>
    <w:multiLevelType w:val="hybridMultilevel"/>
    <w:tmpl w:val="B61C0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6973FC"/>
    <w:multiLevelType w:val="hybridMultilevel"/>
    <w:tmpl w:val="8ADC92A6"/>
    <w:lvl w:ilvl="0" w:tplc="EE34EA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7E6A81"/>
    <w:multiLevelType w:val="hybridMultilevel"/>
    <w:tmpl w:val="5768C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DC10F4"/>
    <w:multiLevelType w:val="hybridMultilevel"/>
    <w:tmpl w:val="8ADC92A6"/>
    <w:lvl w:ilvl="0" w:tplc="EE34EA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430F2E"/>
    <w:multiLevelType w:val="hybridMultilevel"/>
    <w:tmpl w:val="2B54A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C06B4E"/>
    <w:multiLevelType w:val="hybridMultilevel"/>
    <w:tmpl w:val="95706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A70C12"/>
    <w:multiLevelType w:val="hybridMultilevel"/>
    <w:tmpl w:val="AF249C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EA77DD"/>
    <w:multiLevelType w:val="hybridMultilevel"/>
    <w:tmpl w:val="6AE2F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95D1B"/>
    <w:multiLevelType w:val="hybridMultilevel"/>
    <w:tmpl w:val="619C10B6"/>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BED0050"/>
    <w:multiLevelType w:val="hybridMultilevel"/>
    <w:tmpl w:val="946A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3"/>
  </w:num>
  <w:num w:numId="5">
    <w:abstractNumId w:val="14"/>
  </w:num>
  <w:num w:numId="6">
    <w:abstractNumId w:val="3"/>
  </w:num>
  <w:num w:numId="7">
    <w:abstractNumId w:val="10"/>
  </w:num>
  <w:num w:numId="8">
    <w:abstractNumId w:val="7"/>
  </w:num>
  <w:num w:numId="9">
    <w:abstractNumId w:val="11"/>
  </w:num>
  <w:num w:numId="10">
    <w:abstractNumId w:val="0"/>
  </w:num>
  <w:num w:numId="11">
    <w:abstractNumId w:val="4"/>
  </w:num>
  <w:num w:numId="12">
    <w:abstractNumId w:val="5"/>
  </w:num>
  <w:num w:numId="13">
    <w:abstractNumId w:val="12"/>
  </w:num>
  <w:num w:numId="14">
    <w:abstractNumId w:val="6"/>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3E"/>
    <w:rsid w:val="000113B4"/>
    <w:rsid w:val="00023FB6"/>
    <w:rsid w:val="00051ACB"/>
    <w:rsid w:val="00053788"/>
    <w:rsid w:val="00067021"/>
    <w:rsid w:val="000840E1"/>
    <w:rsid w:val="000B3C4C"/>
    <w:rsid w:val="000E2CA6"/>
    <w:rsid w:val="000F2D7A"/>
    <w:rsid w:val="00101E10"/>
    <w:rsid w:val="00106796"/>
    <w:rsid w:val="00115D29"/>
    <w:rsid w:val="00120C2B"/>
    <w:rsid w:val="00124288"/>
    <w:rsid w:val="0013738C"/>
    <w:rsid w:val="00151817"/>
    <w:rsid w:val="00177521"/>
    <w:rsid w:val="00192A7A"/>
    <w:rsid w:val="001B0D98"/>
    <w:rsid w:val="001B4A60"/>
    <w:rsid w:val="002107A2"/>
    <w:rsid w:val="0021523C"/>
    <w:rsid w:val="00222B08"/>
    <w:rsid w:val="00257DA9"/>
    <w:rsid w:val="00261E5C"/>
    <w:rsid w:val="002708C0"/>
    <w:rsid w:val="002A1FC7"/>
    <w:rsid w:val="002A4EEC"/>
    <w:rsid w:val="002B143E"/>
    <w:rsid w:val="002C42B4"/>
    <w:rsid w:val="002D2D76"/>
    <w:rsid w:val="002F7D48"/>
    <w:rsid w:val="00331933"/>
    <w:rsid w:val="00361A7A"/>
    <w:rsid w:val="003929CF"/>
    <w:rsid w:val="003C4298"/>
    <w:rsid w:val="003F33CA"/>
    <w:rsid w:val="003F3BD4"/>
    <w:rsid w:val="004130B2"/>
    <w:rsid w:val="004175B0"/>
    <w:rsid w:val="0042485B"/>
    <w:rsid w:val="0043135F"/>
    <w:rsid w:val="004521AB"/>
    <w:rsid w:val="00462E3F"/>
    <w:rsid w:val="00470BDF"/>
    <w:rsid w:val="00484B54"/>
    <w:rsid w:val="00486FEA"/>
    <w:rsid w:val="004A6BDA"/>
    <w:rsid w:val="004D0B38"/>
    <w:rsid w:val="004D2674"/>
    <w:rsid w:val="004D63BE"/>
    <w:rsid w:val="004E4658"/>
    <w:rsid w:val="004F270C"/>
    <w:rsid w:val="004F6568"/>
    <w:rsid w:val="0050172A"/>
    <w:rsid w:val="005046DF"/>
    <w:rsid w:val="00514891"/>
    <w:rsid w:val="00514FA6"/>
    <w:rsid w:val="005204DA"/>
    <w:rsid w:val="00523CFB"/>
    <w:rsid w:val="005432B0"/>
    <w:rsid w:val="00543391"/>
    <w:rsid w:val="00564DD7"/>
    <w:rsid w:val="00577658"/>
    <w:rsid w:val="00594B36"/>
    <w:rsid w:val="005F150B"/>
    <w:rsid w:val="0061196D"/>
    <w:rsid w:val="00617B44"/>
    <w:rsid w:val="00650A22"/>
    <w:rsid w:val="00687415"/>
    <w:rsid w:val="006B01EF"/>
    <w:rsid w:val="006D02DA"/>
    <w:rsid w:val="006D0CFE"/>
    <w:rsid w:val="006E4FB9"/>
    <w:rsid w:val="006F29E4"/>
    <w:rsid w:val="00701822"/>
    <w:rsid w:val="00715EF3"/>
    <w:rsid w:val="0071607F"/>
    <w:rsid w:val="007672C6"/>
    <w:rsid w:val="00787663"/>
    <w:rsid w:val="007938FD"/>
    <w:rsid w:val="00796399"/>
    <w:rsid w:val="007D41D3"/>
    <w:rsid w:val="007F65B5"/>
    <w:rsid w:val="00840ACC"/>
    <w:rsid w:val="00843AA6"/>
    <w:rsid w:val="0085115E"/>
    <w:rsid w:val="0086625B"/>
    <w:rsid w:val="00883373"/>
    <w:rsid w:val="00895347"/>
    <w:rsid w:val="008A536B"/>
    <w:rsid w:val="008A7710"/>
    <w:rsid w:val="008B5C1C"/>
    <w:rsid w:val="008D42FA"/>
    <w:rsid w:val="008E4192"/>
    <w:rsid w:val="008F7B69"/>
    <w:rsid w:val="00911700"/>
    <w:rsid w:val="00930A4C"/>
    <w:rsid w:val="00940746"/>
    <w:rsid w:val="00964DBB"/>
    <w:rsid w:val="00980D20"/>
    <w:rsid w:val="00983467"/>
    <w:rsid w:val="009865C1"/>
    <w:rsid w:val="009A63C6"/>
    <w:rsid w:val="009C4A1D"/>
    <w:rsid w:val="009C52D9"/>
    <w:rsid w:val="009C6FE1"/>
    <w:rsid w:val="009D0C49"/>
    <w:rsid w:val="009E3EA9"/>
    <w:rsid w:val="00A03FA2"/>
    <w:rsid w:val="00A071A6"/>
    <w:rsid w:val="00A10A8A"/>
    <w:rsid w:val="00A171A4"/>
    <w:rsid w:val="00A221B0"/>
    <w:rsid w:val="00A24742"/>
    <w:rsid w:val="00AA3CD5"/>
    <w:rsid w:val="00AA62B1"/>
    <w:rsid w:val="00AB31AE"/>
    <w:rsid w:val="00AB4FA6"/>
    <w:rsid w:val="00AB68CC"/>
    <w:rsid w:val="00AC5884"/>
    <w:rsid w:val="00AE28D7"/>
    <w:rsid w:val="00B10547"/>
    <w:rsid w:val="00B10BB4"/>
    <w:rsid w:val="00B72517"/>
    <w:rsid w:val="00B81C57"/>
    <w:rsid w:val="00B82517"/>
    <w:rsid w:val="00BA0C1D"/>
    <w:rsid w:val="00BB11BE"/>
    <w:rsid w:val="00BB4698"/>
    <w:rsid w:val="00BC6766"/>
    <w:rsid w:val="00BE1F26"/>
    <w:rsid w:val="00BF4D4B"/>
    <w:rsid w:val="00BF52AE"/>
    <w:rsid w:val="00C129F4"/>
    <w:rsid w:val="00C20B7A"/>
    <w:rsid w:val="00C2287C"/>
    <w:rsid w:val="00C26E5C"/>
    <w:rsid w:val="00C50640"/>
    <w:rsid w:val="00C60D77"/>
    <w:rsid w:val="00C62C85"/>
    <w:rsid w:val="00C64566"/>
    <w:rsid w:val="00C77C61"/>
    <w:rsid w:val="00C817CF"/>
    <w:rsid w:val="00CB7FB3"/>
    <w:rsid w:val="00CD6145"/>
    <w:rsid w:val="00CF1217"/>
    <w:rsid w:val="00CF5A36"/>
    <w:rsid w:val="00D01156"/>
    <w:rsid w:val="00D62252"/>
    <w:rsid w:val="00D64B59"/>
    <w:rsid w:val="00D75478"/>
    <w:rsid w:val="00D772B1"/>
    <w:rsid w:val="00D85678"/>
    <w:rsid w:val="00D870A4"/>
    <w:rsid w:val="00DF1447"/>
    <w:rsid w:val="00E0322B"/>
    <w:rsid w:val="00E7151E"/>
    <w:rsid w:val="00E73FB4"/>
    <w:rsid w:val="00F03CEB"/>
    <w:rsid w:val="00F05491"/>
    <w:rsid w:val="00F47CAF"/>
    <w:rsid w:val="00F612FE"/>
    <w:rsid w:val="00F95516"/>
    <w:rsid w:val="00FA1F20"/>
    <w:rsid w:val="00FB09D9"/>
    <w:rsid w:val="00FE2CA6"/>
    <w:rsid w:val="00FE7F3E"/>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BF53"/>
  <w15:docId w15:val="{1E2889A4-3489-4826-88ED-444C7762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EA9"/>
    <w:pPr>
      <w:spacing w:before="100" w:beforeAutospacing="1" w:after="100" w:afterAutospacing="1"/>
    </w:pPr>
  </w:style>
  <w:style w:type="character" w:customStyle="1" w:styleId="apple-converted-space">
    <w:name w:val="apple-converted-space"/>
    <w:basedOn w:val="DefaultParagraphFont"/>
    <w:rsid w:val="009E3EA9"/>
  </w:style>
  <w:style w:type="character" w:styleId="Emphasis">
    <w:name w:val="Emphasis"/>
    <w:basedOn w:val="DefaultParagraphFont"/>
    <w:uiPriority w:val="20"/>
    <w:qFormat/>
    <w:rsid w:val="009E3EA9"/>
    <w:rPr>
      <w:i/>
      <w:iCs/>
    </w:rPr>
  </w:style>
  <w:style w:type="paragraph" w:styleId="Header">
    <w:name w:val="header"/>
    <w:basedOn w:val="Normal"/>
    <w:link w:val="HeaderChar"/>
    <w:uiPriority w:val="99"/>
    <w:unhideWhenUsed/>
    <w:rsid w:val="00486FEA"/>
    <w:pPr>
      <w:tabs>
        <w:tab w:val="center" w:pos="4680"/>
        <w:tab w:val="right" w:pos="9360"/>
      </w:tabs>
    </w:pPr>
  </w:style>
  <w:style w:type="character" w:customStyle="1" w:styleId="HeaderChar">
    <w:name w:val="Header Char"/>
    <w:basedOn w:val="DefaultParagraphFont"/>
    <w:link w:val="Header"/>
    <w:uiPriority w:val="99"/>
    <w:rsid w:val="00486F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EA"/>
    <w:pPr>
      <w:tabs>
        <w:tab w:val="center" w:pos="4680"/>
        <w:tab w:val="right" w:pos="9360"/>
      </w:tabs>
    </w:pPr>
  </w:style>
  <w:style w:type="character" w:customStyle="1" w:styleId="FooterChar">
    <w:name w:val="Footer Char"/>
    <w:basedOn w:val="DefaultParagraphFont"/>
    <w:link w:val="Footer"/>
    <w:uiPriority w:val="99"/>
    <w:rsid w:val="00486F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BDA"/>
    <w:rPr>
      <w:rFonts w:ascii="Tahoma" w:hAnsi="Tahoma" w:cs="Tahoma"/>
      <w:sz w:val="16"/>
      <w:szCs w:val="16"/>
    </w:rPr>
  </w:style>
  <w:style w:type="character" w:customStyle="1" w:styleId="BalloonTextChar">
    <w:name w:val="Balloon Text Char"/>
    <w:basedOn w:val="DefaultParagraphFont"/>
    <w:link w:val="BalloonText"/>
    <w:uiPriority w:val="99"/>
    <w:semiHidden/>
    <w:rsid w:val="004A6BDA"/>
    <w:rPr>
      <w:rFonts w:ascii="Tahoma" w:eastAsia="Times New Roman" w:hAnsi="Tahoma" w:cs="Tahoma"/>
      <w:sz w:val="16"/>
      <w:szCs w:val="16"/>
    </w:rPr>
  </w:style>
  <w:style w:type="character" w:styleId="Hyperlink">
    <w:name w:val="Hyperlink"/>
    <w:rsid w:val="006B01EF"/>
    <w:rPr>
      <w:color w:val="0000FF"/>
      <w:u w:val="single"/>
    </w:rPr>
  </w:style>
  <w:style w:type="paragraph" w:styleId="ListParagraph">
    <w:name w:val="List Paragraph"/>
    <w:basedOn w:val="Normal"/>
    <w:uiPriority w:val="34"/>
    <w:qFormat/>
    <w:rsid w:val="000B3C4C"/>
    <w:pPr>
      <w:ind w:left="720"/>
      <w:contextualSpacing/>
    </w:pPr>
  </w:style>
  <w:style w:type="paragraph" w:styleId="FootnoteText">
    <w:name w:val="footnote text"/>
    <w:basedOn w:val="Normal"/>
    <w:link w:val="FootnoteTextChar"/>
    <w:uiPriority w:val="99"/>
    <w:semiHidden/>
    <w:unhideWhenUsed/>
    <w:rsid w:val="000B3C4C"/>
    <w:rPr>
      <w:sz w:val="20"/>
      <w:szCs w:val="20"/>
    </w:rPr>
  </w:style>
  <w:style w:type="character" w:customStyle="1" w:styleId="FootnoteTextChar">
    <w:name w:val="Footnote Text Char"/>
    <w:basedOn w:val="DefaultParagraphFont"/>
    <w:link w:val="FootnoteText"/>
    <w:uiPriority w:val="99"/>
    <w:semiHidden/>
    <w:rsid w:val="000B3C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3C4C"/>
    <w:rPr>
      <w:vertAlign w:val="superscript"/>
    </w:rPr>
  </w:style>
  <w:style w:type="character" w:styleId="CommentReference">
    <w:name w:val="annotation reference"/>
    <w:basedOn w:val="DefaultParagraphFont"/>
    <w:uiPriority w:val="99"/>
    <w:semiHidden/>
    <w:unhideWhenUsed/>
    <w:rsid w:val="002107A2"/>
    <w:rPr>
      <w:sz w:val="16"/>
      <w:szCs w:val="16"/>
    </w:rPr>
  </w:style>
  <w:style w:type="paragraph" w:styleId="CommentText">
    <w:name w:val="annotation text"/>
    <w:basedOn w:val="Normal"/>
    <w:link w:val="CommentTextChar"/>
    <w:uiPriority w:val="99"/>
    <w:semiHidden/>
    <w:unhideWhenUsed/>
    <w:rsid w:val="002107A2"/>
    <w:rPr>
      <w:sz w:val="20"/>
      <w:szCs w:val="20"/>
    </w:rPr>
  </w:style>
  <w:style w:type="character" w:customStyle="1" w:styleId="CommentTextChar">
    <w:name w:val="Comment Text Char"/>
    <w:basedOn w:val="DefaultParagraphFont"/>
    <w:link w:val="CommentText"/>
    <w:uiPriority w:val="99"/>
    <w:semiHidden/>
    <w:rsid w:val="002107A2"/>
    <w:rPr>
      <w:rFonts w:ascii="Times New Roman" w:eastAsia="Times New Roman" w:hAnsi="Times New Roman" w:cs="Times New Roman"/>
      <w:sz w:val="20"/>
      <w:szCs w:val="20"/>
    </w:rPr>
  </w:style>
  <w:style w:type="character" w:customStyle="1" w:styleId="lrzxr">
    <w:name w:val="lrzxr"/>
    <w:basedOn w:val="DefaultParagraphFont"/>
    <w:rsid w:val="008A536B"/>
  </w:style>
  <w:style w:type="paragraph" w:styleId="CommentSubject">
    <w:name w:val="annotation subject"/>
    <w:basedOn w:val="CommentText"/>
    <w:next w:val="CommentText"/>
    <w:link w:val="CommentSubjectChar"/>
    <w:uiPriority w:val="99"/>
    <w:semiHidden/>
    <w:unhideWhenUsed/>
    <w:rsid w:val="00FF6377"/>
    <w:rPr>
      <w:b/>
      <w:bCs/>
    </w:rPr>
  </w:style>
  <w:style w:type="character" w:customStyle="1" w:styleId="CommentSubjectChar">
    <w:name w:val="Comment Subject Char"/>
    <w:basedOn w:val="CommentTextChar"/>
    <w:link w:val="CommentSubject"/>
    <w:uiPriority w:val="99"/>
    <w:semiHidden/>
    <w:rsid w:val="00FF6377"/>
    <w:rPr>
      <w:rFonts w:ascii="Times New Roman" w:eastAsia="Times New Roman" w:hAnsi="Times New Roman" w:cs="Times New Roman"/>
      <w:b/>
      <w:bCs/>
      <w:sz w:val="20"/>
      <w:szCs w:val="20"/>
    </w:rPr>
  </w:style>
  <w:style w:type="paragraph" w:styleId="Revision">
    <w:name w:val="Revision"/>
    <w:hidden/>
    <w:uiPriority w:val="99"/>
    <w:semiHidden/>
    <w:rsid w:val="00C77C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0100">
      <w:bodyDiv w:val="1"/>
      <w:marLeft w:val="0"/>
      <w:marRight w:val="0"/>
      <w:marTop w:val="0"/>
      <w:marBottom w:val="0"/>
      <w:divBdr>
        <w:top w:val="none" w:sz="0" w:space="0" w:color="auto"/>
        <w:left w:val="none" w:sz="0" w:space="0" w:color="auto"/>
        <w:bottom w:val="none" w:sz="0" w:space="0" w:color="auto"/>
        <w:right w:val="none" w:sz="0" w:space="0" w:color="auto"/>
      </w:divBdr>
      <w:divsChild>
        <w:div w:id="1093403852">
          <w:marLeft w:val="0"/>
          <w:marRight w:val="0"/>
          <w:marTop w:val="0"/>
          <w:marBottom w:val="0"/>
          <w:divBdr>
            <w:top w:val="none" w:sz="0" w:space="0" w:color="auto"/>
            <w:left w:val="none" w:sz="0" w:space="0" w:color="auto"/>
            <w:bottom w:val="none" w:sz="0" w:space="0" w:color="auto"/>
            <w:right w:val="none" w:sz="0" w:space="0" w:color="auto"/>
          </w:divBdr>
        </w:div>
        <w:div w:id="455295068">
          <w:marLeft w:val="0"/>
          <w:marRight w:val="0"/>
          <w:marTop w:val="0"/>
          <w:marBottom w:val="0"/>
          <w:divBdr>
            <w:top w:val="none" w:sz="0" w:space="0" w:color="auto"/>
            <w:left w:val="none" w:sz="0" w:space="0" w:color="auto"/>
            <w:bottom w:val="none" w:sz="0" w:space="0" w:color="auto"/>
            <w:right w:val="none" w:sz="0" w:space="0" w:color="auto"/>
          </w:divBdr>
        </w:div>
        <w:div w:id="876435609">
          <w:marLeft w:val="0"/>
          <w:marRight w:val="0"/>
          <w:marTop w:val="0"/>
          <w:marBottom w:val="0"/>
          <w:divBdr>
            <w:top w:val="none" w:sz="0" w:space="0" w:color="auto"/>
            <w:left w:val="none" w:sz="0" w:space="0" w:color="auto"/>
            <w:bottom w:val="none" w:sz="0" w:space="0" w:color="auto"/>
            <w:right w:val="none" w:sz="0" w:space="0" w:color="auto"/>
          </w:divBdr>
        </w:div>
        <w:div w:id="151484512">
          <w:marLeft w:val="0"/>
          <w:marRight w:val="0"/>
          <w:marTop w:val="0"/>
          <w:marBottom w:val="0"/>
          <w:divBdr>
            <w:top w:val="none" w:sz="0" w:space="0" w:color="auto"/>
            <w:left w:val="none" w:sz="0" w:space="0" w:color="auto"/>
            <w:bottom w:val="none" w:sz="0" w:space="0" w:color="auto"/>
            <w:right w:val="none" w:sz="0" w:space="0" w:color="auto"/>
          </w:divBdr>
        </w:div>
        <w:div w:id="878738052">
          <w:marLeft w:val="0"/>
          <w:marRight w:val="0"/>
          <w:marTop w:val="0"/>
          <w:marBottom w:val="0"/>
          <w:divBdr>
            <w:top w:val="none" w:sz="0" w:space="0" w:color="auto"/>
            <w:left w:val="none" w:sz="0" w:space="0" w:color="auto"/>
            <w:bottom w:val="none" w:sz="0" w:space="0" w:color="auto"/>
            <w:right w:val="none" w:sz="0" w:space="0" w:color="auto"/>
          </w:divBdr>
        </w:div>
        <w:div w:id="888344249">
          <w:marLeft w:val="0"/>
          <w:marRight w:val="0"/>
          <w:marTop w:val="0"/>
          <w:marBottom w:val="0"/>
          <w:divBdr>
            <w:top w:val="none" w:sz="0" w:space="0" w:color="auto"/>
            <w:left w:val="none" w:sz="0" w:space="0" w:color="auto"/>
            <w:bottom w:val="none" w:sz="0" w:space="0" w:color="auto"/>
            <w:right w:val="none" w:sz="0" w:space="0" w:color="auto"/>
          </w:divBdr>
        </w:div>
        <w:div w:id="1280721121">
          <w:marLeft w:val="0"/>
          <w:marRight w:val="0"/>
          <w:marTop w:val="0"/>
          <w:marBottom w:val="0"/>
          <w:divBdr>
            <w:top w:val="none" w:sz="0" w:space="0" w:color="auto"/>
            <w:left w:val="none" w:sz="0" w:space="0" w:color="auto"/>
            <w:bottom w:val="none" w:sz="0" w:space="0" w:color="auto"/>
            <w:right w:val="none" w:sz="0" w:space="0" w:color="auto"/>
          </w:divBdr>
        </w:div>
      </w:divsChild>
    </w:div>
    <w:div w:id="129520218">
      <w:bodyDiv w:val="1"/>
      <w:marLeft w:val="0"/>
      <w:marRight w:val="0"/>
      <w:marTop w:val="0"/>
      <w:marBottom w:val="0"/>
      <w:divBdr>
        <w:top w:val="none" w:sz="0" w:space="0" w:color="auto"/>
        <w:left w:val="none" w:sz="0" w:space="0" w:color="auto"/>
        <w:bottom w:val="none" w:sz="0" w:space="0" w:color="auto"/>
        <w:right w:val="none" w:sz="0" w:space="0" w:color="auto"/>
      </w:divBdr>
      <w:divsChild>
        <w:div w:id="841507627">
          <w:marLeft w:val="0"/>
          <w:marRight w:val="0"/>
          <w:marTop w:val="0"/>
          <w:marBottom w:val="0"/>
          <w:divBdr>
            <w:top w:val="none" w:sz="0" w:space="0" w:color="auto"/>
            <w:left w:val="none" w:sz="0" w:space="0" w:color="auto"/>
            <w:bottom w:val="none" w:sz="0" w:space="0" w:color="auto"/>
            <w:right w:val="none" w:sz="0" w:space="0" w:color="auto"/>
          </w:divBdr>
        </w:div>
        <w:div w:id="121507691">
          <w:marLeft w:val="0"/>
          <w:marRight w:val="0"/>
          <w:marTop w:val="0"/>
          <w:marBottom w:val="0"/>
          <w:divBdr>
            <w:top w:val="none" w:sz="0" w:space="0" w:color="auto"/>
            <w:left w:val="none" w:sz="0" w:space="0" w:color="auto"/>
            <w:bottom w:val="none" w:sz="0" w:space="0" w:color="auto"/>
            <w:right w:val="none" w:sz="0" w:space="0" w:color="auto"/>
          </w:divBdr>
        </w:div>
        <w:div w:id="410585962">
          <w:marLeft w:val="0"/>
          <w:marRight w:val="0"/>
          <w:marTop w:val="0"/>
          <w:marBottom w:val="0"/>
          <w:divBdr>
            <w:top w:val="none" w:sz="0" w:space="0" w:color="auto"/>
            <w:left w:val="none" w:sz="0" w:space="0" w:color="auto"/>
            <w:bottom w:val="none" w:sz="0" w:space="0" w:color="auto"/>
            <w:right w:val="none" w:sz="0" w:space="0" w:color="auto"/>
          </w:divBdr>
        </w:div>
        <w:div w:id="1774130469">
          <w:marLeft w:val="0"/>
          <w:marRight w:val="0"/>
          <w:marTop w:val="0"/>
          <w:marBottom w:val="0"/>
          <w:divBdr>
            <w:top w:val="none" w:sz="0" w:space="0" w:color="auto"/>
            <w:left w:val="none" w:sz="0" w:space="0" w:color="auto"/>
            <w:bottom w:val="none" w:sz="0" w:space="0" w:color="auto"/>
            <w:right w:val="none" w:sz="0" w:space="0" w:color="auto"/>
          </w:divBdr>
        </w:div>
        <w:div w:id="855117531">
          <w:marLeft w:val="0"/>
          <w:marRight w:val="0"/>
          <w:marTop w:val="0"/>
          <w:marBottom w:val="0"/>
          <w:divBdr>
            <w:top w:val="none" w:sz="0" w:space="0" w:color="auto"/>
            <w:left w:val="none" w:sz="0" w:space="0" w:color="auto"/>
            <w:bottom w:val="none" w:sz="0" w:space="0" w:color="auto"/>
            <w:right w:val="none" w:sz="0" w:space="0" w:color="auto"/>
          </w:divBdr>
        </w:div>
        <w:div w:id="1670327127">
          <w:marLeft w:val="0"/>
          <w:marRight w:val="0"/>
          <w:marTop w:val="0"/>
          <w:marBottom w:val="0"/>
          <w:divBdr>
            <w:top w:val="none" w:sz="0" w:space="0" w:color="auto"/>
            <w:left w:val="none" w:sz="0" w:space="0" w:color="auto"/>
            <w:bottom w:val="none" w:sz="0" w:space="0" w:color="auto"/>
            <w:right w:val="none" w:sz="0" w:space="0" w:color="auto"/>
          </w:divBdr>
        </w:div>
        <w:div w:id="1118797346">
          <w:marLeft w:val="0"/>
          <w:marRight w:val="0"/>
          <w:marTop w:val="0"/>
          <w:marBottom w:val="0"/>
          <w:divBdr>
            <w:top w:val="none" w:sz="0" w:space="0" w:color="auto"/>
            <w:left w:val="none" w:sz="0" w:space="0" w:color="auto"/>
            <w:bottom w:val="none" w:sz="0" w:space="0" w:color="auto"/>
            <w:right w:val="none" w:sz="0" w:space="0" w:color="auto"/>
          </w:divBdr>
        </w:div>
      </w:divsChild>
    </w:div>
    <w:div w:id="854929327">
      <w:bodyDiv w:val="1"/>
      <w:marLeft w:val="0"/>
      <w:marRight w:val="0"/>
      <w:marTop w:val="0"/>
      <w:marBottom w:val="0"/>
      <w:divBdr>
        <w:top w:val="none" w:sz="0" w:space="0" w:color="auto"/>
        <w:left w:val="none" w:sz="0" w:space="0" w:color="auto"/>
        <w:bottom w:val="none" w:sz="0" w:space="0" w:color="auto"/>
        <w:right w:val="none" w:sz="0" w:space="0" w:color="auto"/>
      </w:divBdr>
      <w:divsChild>
        <w:div w:id="733745708">
          <w:marLeft w:val="0"/>
          <w:marRight w:val="0"/>
          <w:marTop w:val="0"/>
          <w:marBottom w:val="0"/>
          <w:divBdr>
            <w:top w:val="none" w:sz="0" w:space="0" w:color="auto"/>
            <w:left w:val="none" w:sz="0" w:space="0" w:color="auto"/>
            <w:bottom w:val="none" w:sz="0" w:space="0" w:color="auto"/>
            <w:right w:val="none" w:sz="0" w:space="0" w:color="auto"/>
          </w:divBdr>
        </w:div>
        <w:div w:id="723404409">
          <w:marLeft w:val="0"/>
          <w:marRight w:val="0"/>
          <w:marTop w:val="0"/>
          <w:marBottom w:val="0"/>
          <w:divBdr>
            <w:top w:val="none" w:sz="0" w:space="0" w:color="auto"/>
            <w:left w:val="none" w:sz="0" w:space="0" w:color="auto"/>
            <w:bottom w:val="none" w:sz="0" w:space="0" w:color="auto"/>
            <w:right w:val="none" w:sz="0" w:space="0" w:color="auto"/>
          </w:divBdr>
        </w:div>
        <w:div w:id="814832751">
          <w:marLeft w:val="0"/>
          <w:marRight w:val="0"/>
          <w:marTop w:val="0"/>
          <w:marBottom w:val="0"/>
          <w:divBdr>
            <w:top w:val="none" w:sz="0" w:space="0" w:color="auto"/>
            <w:left w:val="none" w:sz="0" w:space="0" w:color="auto"/>
            <w:bottom w:val="none" w:sz="0" w:space="0" w:color="auto"/>
            <w:right w:val="none" w:sz="0" w:space="0" w:color="auto"/>
          </w:divBdr>
        </w:div>
      </w:divsChild>
    </w:div>
    <w:div w:id="908075030">
      <w:bodyDiv w:val="1"/>
      <w:marLeft w:val="0"/>
      <w:marRight w:val="0"/>
      <w:marTop w:val="0"/>
      <w:marBottom w:val="0"/>
      <w:divBdr>
        <w:top w:val="none" w:sz="0" w:space="0" w:color="auto"/>
        <w:left w:val="none" w:sz="0" w:space="0" w:color="auto"/>
        <w:bottom w:val="none" w:sz="0" w:space="0" w:color="auto"/>
        <w:right w:val="none" w:sz="0" w:space="0" w:color="auto"/>
      </w:divBdr>
    </w:div>
    <w:div w:id="1004212294">
      <w:bodyDiv w:val="1"/>
      <w:marLeft w:val="0"/>
      <w:marRight w:val="0"/>
      <w:marTop w:val="0"/>
      <w:marBottom w:val="0"/>
      <w:divBdr>
        <w:top w:val="none" w:sz="0" w:space="0" w:color="auto"/>
        <w:left w:val="none" w:sz="0" w:space="0" w:color="auto"/>
        <w:bottom w:val="none" w:sz="0" w:space="0" w:color="auto"/>
        <w:right w:val="none" w:sz="0" w:space="0" w:color="auto"/>
      </w:divBdr>
      <w:divsChild>
        <w:div w:id="1048914356">
          <w:marLeft w:val="0"/>
          <w:marRight w:val="0"/>
          <w:marTop w:val="0"/>
          <w:marBottom w:val="0"/>
          <w:divBdr>
            <w:top w:val="none" w:sz="0" w:space="0" w:color="auto"/>
            <w:left w:val="none" w:sz="0" w:space="0" w:color="auto"/>
            <w:bottom w:val="none" w:sz="0" w:space="0" w:color="auto"/>
            <w:right w:val="none" w:sz="0" w:space="0" w:color="auto"/>
          </w:divBdr>
        </w:div>
        <w:div w:id="1975599474">
          <w:marLeft w:val="0"/>
          <w:marRight w:val="0"/>
          <w:marTop w:val="0"/>
          <w:marBottom w:val="0"/>
          <w:divBdr>
            <w:top w:val="none" w:sz="0" w:space="0" w:color="auto"/>
            <w:left w:val="none" w:sz="0" w:space="0" w:color="auto"/>
            <w:bottom w:val="none" w:sz="0" w:space="0" w:color="auto"/>
            <w:right w:val="none" w:sz="0" w:space="0" w:color="auto"/>
          </w:divBdr>
        </w:div>
        <w:div w:id="1219394310">
          <w:marLeft w:val="0"/>
          <w:marRight w:val="0"/>
          <w:marTop w:val="0"/>
          <w:marBottom w:val="0"/>
          <w:divBdr>
            <w:top w:val="none" w:sz="0" w:space="0" w:color="auto"/>
            <w:left w:val="none" w:sz="0" w:space="0" w:color="auto"/>
            <w:bottom w:val="none" w:sz="0" w:space="0" w:color="auto"/>
            <w:right w:val="none" w:sz="0" w:space="0" w:color="auto"/>
          </w:divBdr>
        </w:div>
      </w:divsChild>
    </w:div>
    <w:div w:id="1772243828">
      <w:bodyDiv w:val="1"/>
      <w:marLeft w:val="0"/>
      <w:marRight w:val="0"/>
      <w:marTop w:val="0"/>
      <w:marBottom w:val="0"/>
      <w:divBdr>
        <w:top w:val="none" w:sz="0" w:space="0" w:color="auto"/>
        <w:left w:val="none" w:sz="0" w:space="0" w:color="auto"/>
        <w:bottom w:val="none" w:sz="0" w:space="0" w:color="auto"/>
        <w:right w:val="none" w:sz="0" w:space="0" w:color="auto"/>
      </w:divBdr>
      <w:divsChild>
        <w:div w:id="1731154943">
          <w:marLeft w:val="0"/>
          <w:marRight w:val="0"/>
          <w:marTop w:val="0"/>
          <w:marBottom w:val="0"/>
          <w:divBdr>
            <w:top w:val="none" w:sz="0" w:space="0" w:color="auto"/>
            <w:left w:val="none" w:sz="0" w:space="0" w:color="auto"/>
            <w:bottom w:val="none" w:sz="0" w:space="0" w:color="auto"/>
            <w:right w:val="none" w:sz="0" w:space="0" w:color="auto"/>
          </w:divBdr>
        </w:div>
        <w:div w:id="149179734">
          <w:marLeft w:val="0"/>
          <w:marRight w:val="0"/>
          <w:marTop w:val="0"/>
          <w:marBottom w:val="0"/>
          <w:divBdr>
            <w:top w:val="none" w:sz="0" w:space="0" w:color="auto"/>
            <w:left w:val="none" w:sz="0" w:space="0" w:color="auto"/>
            <w:bottom w:val="none" w:sz="0" w:space="0" w:color="auto"/>
            <w:right w:val="none" w:sz="0" w:space="0" w:color="auto"/>
          </w:divBdr>
        </w:div>
      </w:divsChild>
    </w:div>
    <w:div w:id="1776828010">
      <w:bodyDiv w:val="1"/>
      <w:marLeft w:val="0"/>
      <w:marRight w:val="0"/>
      <w:marTop w:val="0"/>
      <w:marBottom w:val="0"/>
      <w:divBdr>
        <w:top w:val="none" w:sz="0" w:space="0" w:color="auto"/>
        <w:left w:val="none" w:sz="0" w:space="0" w:color="auto"/>
        <w:bottom w:val="none" w:sz="0" w:space="0" w:color="auto"/>
        <w:right w:val="none" w:sz="0" w:space="0" w:color="auto"/>
      </w:divBdr>
      <w:divsChild>
        <w:div w:id="406270030">
          <w:marLeft w:val="0"/>
          <w:marRight w:val="0"/>
          <w:marTop w:val="0"/>
          <w:marBottom w:val="0"/>
          <w:divBdr>
            <w:top w:val="none" w:sz="0" w:space="0" w:color="auto"/>
            <w:left w:val="none" w:sz="0" w:space="0" w:color="auto"/>
            <w:bottom w:val="none" w:sz="0" w:space="0" w:color="auto"/>
            <w:right w:val="none" w:sz="0" w:space="0" w:color="auto"/>
          </w:divBdr>
        </w:div>
        <w:div w:id="111182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D92A-655D-4684-B464-A51BEE30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2466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Broun</dc:creator>
  <cp:lastModifiedBy>laptopuser</cp:lastModifiedBy>
  <cp:revision>3</cp:revision>
  <cp:lastPrinted>2021-09-24T13:45:00Z</cp:lastPrinted>
  <dcterms:created xsi:type="dcterms:W3CDTF">2021-10-08T13:01:00Z</dcterms:created>
  <dcterms:modified xsi:type="dcterms:W3CDTF">2021-10-08T14:13:00Z</dcterms:modified>
</cp:coreProperties>
</file>